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4.2.0 -->
  <w:body>
    <w:p>
      <w:pPr>
        <w:divId w:val="1"/>
      </w:pPr>
      <w:r>
        <w:br/>
      </w:r>
      <w:r>
        <w:t>​​</w:t>
      </w:r>
    </w:p>
    <w:p>
      <w:pPr>
        <w:divId w:val="2"/>
      </w:pPr>
      <w:r>
        <w:br/>
      </w:r>
      <w:r>
        <w:t>​​</w:t>
      </w:r>
    </w:p>
    <w:p>
      <w:pPr>
        <w:divId w:val="3"/>
      </w:pPr>
      <w:r>
        <w:br/>
      </w:r>
      <w:r>
        <w:t>​​</w:t>
      </w:r>
    </w:p>
    <w:p>
      <w:pPr>
        <w:divId w:val="4"/>
      </w:pPr>
      <w:r>
        <w:br/>
      </w:r>
      <w:r>
        <w:t>​​</w:t>
      </w:r>
    </w:p>
    <w:p>
      <w:pPr>
        <w:divId w:val="5"/>
      </w:pPr>
      <w:r>
        <w:br/>
      </w:r>
      <w:r>
        <w:t>​​</w:t>
      </w:r>
    </w:p>
    <w:p>
      <w:pPr>
        <w:divId w:val="6"/>
      </w:pPr>
      <w:r>
        <w:rPr>
          <w:b/>
          <w:sz w:val="24"/>
          <w:szCs w:val="24"/>
          <w:u w:val="single"/>
        </w:rPr>
        <w:t>Telematikinfrastruktur 2.0</w:t>
      </w:r>
    </w:p>
    <w:p>
      <w:pPr>
        <w:divId w:val="7"/>
      </w:pPr>
      <w:r>
        <w:br/>
      </w:r>
      <w:r>
        <w:t>​​</w:t>
      </w:r>
    </w:p>
    <w:p>
      <w:pPr>
        <w:divId w:val="8"/>
      </w:pPr>
      <w:r>
        <w:br/>
      </w:r>
      <w:r>
        <w:t>​​</w:t>
      </w:r>
    </w:p>
    <w:p>
      <w:pPr>
        <w:divId w:val="9"/>
      </w:pPr>
      <w:r>
        <w:br/>
      </w:r>
      <w:r>
        <w:t>​​</w:t>
      </w:r>
    </w:p>
    <w:p>
      <w:pPr>
        <w:divId w:val="10"/>
      </w:pPr>
      <w:r>
        <w:br/>
      </w:r>
      <w:r>
        <w:t>​​</w:t>
      </w:r>
    </w:p>
    <w:p>
      <w:pPr>
        <w:divId w:val="11"/>
        <w:jc w:val="center"/>
      </w:pPr>
      <w:r>
        <w:rPr>
          <w:b/>
          <w:sz w:val="56"/>
          <w:szCs w:val="56"/>
        </w:rPr>
        <w:t>Feature:</w:t>
      </w:r>
    </w:p>
    <w:p>
      <w:pPr>
        <w:divId w:val="12"/>
        <w:jc w:val="center"/>
      </w:pPr>
      <w:r>
        <w:rPr>
          <w:b/>
          <w:sz w:val="56"/>
          <w:szCs w:val="56"/>
        </w:rPr>
        <w:t>Zero Trust</w:t>
      </w:r>
    </w:p>
    <w:p>
      <w:pPr>
        <w:divId w:val="13"/>
        <w:jc w:val="left"/>
      </w:pPr>
      <w:r>
        <w:t>​​</w:t>
      </w:r>
    </w:p>
    <w:p>
      <w:pPr>
        <w:divId w:val="14"/>
      </w:pPr>
      <w:r>
        <w:t>​​</w:t>
      </w:r>
    </w:p>
    <w:p>
      <w:pPr>
        <w:divId w:val="15"/>
      </w:pPr>
      <w:r>
        <w:t>​​</w:t>
      </w:r>
    </w:p>
    <w:p>
      <w:pPr>
        <w:divId w:val="16"/>
      </w:pPr>
      <w:r>
        <w:t>​​</w:t>
      </w:r>
    </w:p>
    <w:p>
      <w:pPr>
        <w:divId w:val="17"/>
      </w:pPr>
      <w:r>
        <w:br/>
      </w:r>
      <w:r>
        <w:t>​​</w:t>
      </w:r>
    </w:p>
    <w:p>
      <w:pPr>
        <w:divId w:val="18"/>
      </w:pPr>
      <w:r>
        <w:t>​​</w:t>
      </w:r>
    </w:p>
    <w:tbl>
      <w:tblPr>
        <w:tblStyle w:val="PolarionTableNormal"/>
      </w:tblPr>
      <w:tblGrid>
        <w:gridCol w:w="2250"/>
        <w:gridCol w:w="3347"/>
      </w:tblGrid>
      <w:tr>
        <w:tc>
          <w:tcPr>
            <w:tcW w:w="2250" w:type="dxa"/>
          </w:tcPr>
          <w:p>
            <w:r>
              <w:rPr>
                <w:vanish/>
              </w:rPr>
              <w:t>1</w:t>
            </w:r>
            <w:r>
              <w:t>Version:</w:t>
            </w:r>
          </w:p>
        </w:tc>
        <w:tc>
          <w:tcPr/>
          <w:p>
            <w:r>
              <w:t>1.0.1_CC</w:t>
            </w:r>
          </w:p>
        </w:tc>
      </w:tr>
      <w:tr>
        <w:tc>
          <w:tcPr/>
          <w:p>
            <w:r>
              <w:t>Revision:</w:t>
            </w:r>
          </w:p>
        </w:tc>
        <w:tc>
          <w:tcPr/>
          <w:p>
            <w:r>
              <w:t>925986</w:t>
            </w:r>
          </w:p>
        </w:tc>
      </w:tr>
      <w:tr>
        <w:tc>
          <w:tcPr/>
          <w:p>
            <w:r>
              <w:t>Stand:</w:t>
            </w:r>
          </w:p>
        </w:tc>
        <w:tc>
          <w:tcPr/>
          <w:p>
            <w:r>
              <w:t>07.06.2024</w:t>
            </w:r>
          </w:p>
        </w:tc>
      </w:tr>
      <w:tr>
        <w:tc>
          <w:tcPr/>
          <w:p>
            <w:r>
              <w:t>Status:</w:t>
            </w:r>
          </w:p>
        </w:tc>
        <w:tc>
          <w:tcPr/>
          <w:p>
            <w:r>
              <w:t>zur Abstimmung freigegeben</w:t>
            </w:r>
          </w:p>
        </w:tc>
      </w:tr>
      <w:tr>
        <w:tc>
          <w:tcPr/>
          <w:p>
            <w:r>
              <w:t>Klassifizierung:</w:t>
            </w:r>
          </w:p>
        </w:tc>
        <w:tc>
          <w:tcPr/>
          <w:p>
            <w:r>
              <w:t>öffentlich_Entwurf</w:t>
            </w:r>
          </w:p>
        </w:tc>
      </w:tr>
      <w:tr>
        <w:tc>
          <w:tcPr/>
          <w:p>
            <w:r>
              <w:t>Referenzierung:</w:t>
            </w:r>
          </w:p>
        </w:tc>
        <w:tc>
          <w:tcPr/>
          <w:p>
            <w:r>
              <w:t>gemF_Zero-Trust</w:t>
            </w:r>
          </w:p>
        </w:tc>
      </w:tr>
    </w:tbl>
    <w:p>
      <w:pPr>
        <w:divId w:val="19"/>
      </w:pPr>
      <w:r>
        <w:br/>
      </w:r>
      <w:r>
        <w:t>​​</w:t>
      </w:r>
    </w:p>
    <w:p>
      <w:pPr>
        <w:pStyle w:val="Title"/>
        <w:divId w:val="20"/>
      </w:pPr>
      <w:r>
        <w:t>Dokumentinformationen</w:t>
      </w:r>
    </w:p>
    <w:p>
      <w:pPr>
        <w:divId w:val="21"/>
      </w:pPr>
      <w:r>
        <w:rPr>
          <w:b/>
        </w:rPr>
        <w:t>Änderungen zur Vorversion</w:t>
      </w:r>
    </w:p>
    <w:p>
      <w:pPr>
        <w:divId w:val="22"/>
      </w:pPr>
      <w:r>
        <w:rPr>
          <w:sz w:val="20"/>
          <w:szCs w:val="20"/>
        </w:rPr>
        <w:t>Anpassungen des vorliegenden Dokumentes im Vergleich zur Vorversion können Sie der nachfolgenden Tabelle entnehmen.</w:t>
      </w:r>
    </w:p>
    <w:p>
      <w:pPr>
        <w:divId w:val="23"/>
      </w:pPr>
      <w:r>
        <w:t>​​</w:t>
      </w:r>
    </w:p>
    <w:p>
      <w:pPr>
        <w:divId w:val="24"/>
      </w:pPr>
      <w:r>
        <w:rPr>
          <w:b/>
        </w:rPr>
        <w:t>Dokumentenhistorie</w:t>
      </w:r>
    </w:p>
    <w:tbl>
      <w:tblPr>
        <w:tblStyle w:val="PolarionTableNormal"/>
        <w:tblW w:w="5000" w:type="pct"/>
        <w:jc w:val="center"/>
      </w:tblPr>
      <w:tblGrid>
        <w:gridCol w:w="1135"/>
        <w:gridCol w:w="1365"/>
        <w:gridCol w:w="894"/>
        <w:gridCol w:w="3974"/>
        <w:gridCol w:w="1862"/>
      </w:tblGrid>
      <w:tr>
        <w:tblPrEx>
          <w:tblW w:w="5000" w:type="pct"/>
          <w:jc w:val="center"/>
        </w:tblPrEx>
        <w:trPr>
          <w:divId w:val="25"/>
          <w:trHeight w:val="580"/>
          <w:jc w:val="center"/>
        </w:trPr>
        <w:tc>
          <w:tcPr>
            <w:tcW w:w="1140" w:type="dxa"/>
            <w:tcBorders>
              <w:top w:val="single" w:sz="8" w:space="0" w:color="CCCCCC"/>
              <w:left w:val="single" w:sz="8" w:space="0" w:color="CCCCCC"/>
              <w:bottom w:val="single" w:sz="8" w:space="0" w:color="CCCCCC"/>
              <w:right w:val="single" w:sz="8" w:space="0" w:color="CCCCCC"/>
            </w:tcBorders>
            <w:shd w:val="clear" w:color="auto" w:fill="F0F0F0"/>
            <w:tcMar>
              <w:top w:w="80" w:type="dxa"/>
              <w:left w:w="80" w:type="dxa"/>
              <w:bottom w:w="80" w:type="dxa"/>
              <w:right w:w="80" w:type="dxa"/>
            </w:tcMar>
            <w:vAlign w:val="top"/>
          </w:tcPr>
          <w:p>
            <w:pPr>
              <w:jc w:val="left"/>
            </w:pPr>
            <w:r>
              <w:t>Version</w:t>
            </w:r>
          </w:p>
        </w:tc>
        <w:tc>
          <w:tcPr>
            <w:tcW w:w="1290" w:type="dxa"/>
            <w:tcBorders>
              <w:top w:val="single" w:sz="8" w:space="0" w:color="CCCCCC"/>
              <w:left w:val="single" w:sz="8" w:space="0" w:color="CCCCCC"/>
              <w:bottom w:val="single" w:sz="8" w:space="0" w:color="CCCCCC"/>
              <w:right w:val="single" w:sz="8" w:space="0" w:color="CCCCCC"/>
            </w:tcBorders>
            <w:shd w:val="clear" w:color="auto" w:fill="F0F0F0"/>
            <w:tcMar>
              <w:top w:w="80" w:type="dxa"/>
              <w:left w:w="80" w:type="dxa"/>
              <w:bottom w:w="80" w:type="dxa"/>
              <w:right w:w="80" w:type="dxa"/>
            </w:tcMar>
            <w:vAlign w:val="top"/>
          </w:tcPr>
          <w:p>
            <w:pPr>
              <w:jc w:val="left"/>
            </w:pPr>
            <w:r>
              <w:t>Stand</w:t>
            </w:r>
          </w:p>
        </w:tc>
        <w:tc>
          <w:tcPr>
            <w:tcW w:w="945" w:type="dxa"/>
            <w:tcBorders>
              <w:top w:val="single" w:sz="8" w:space="0" w:color="CCCCCC"/>
              <w:left w:val="single" w:sz="8" w:space="0" w:color="CCCCCC"/>
              <w:bottom w:val="single" w:sz="8" w:space="0" w:color="CCCCCC"/>
              <w:right w:val="single" w:sz="8" w:space="0" w:color="CCCCCC"/>
            </w:tcBorders>
            <w:shd w:val="clear" w:color="auto" w:fill="F0F0F0"/>
            <w:tcMar>
              <w:top w:w="80" w:type="dxa"/>
              <w:left w:w="80" w:type="dxa"/>
              <w:bottom w:w="80" w:type="dxa"/>
              <w:right w:w="80" w:type="dxa"/>
            </w:tcMar>
            <w:vAlign w:val="top"/>
          </w:tcPr>
          <w:p>
            <w:pPr>
              <w:jc w:val="left"/>
            </w:pPr>
            <w:r>
              <w:t>Kap./ Seite</w:t>
            </w:r>
          </w:p>
        </w:tc>
        <w:tc>
          <w:tcPr>
            <w:tcW w:w="4950" w:type="dxa"/>
            <w:tcBorders>
              <w:top w:val="single" w:sz="8" w:space="0" w:color="CCCCCC"/>
              <w:left w:val="single" w:sz="8" w:space="0" w:color="CCCCCC"/>
              <w:bottom w:val="single" w:sz="8" w:space="0" w:color="CCCCCC"/>
              <w:right w:val="single" w:sz="8" w:space="0" w:color="CCCCCC"/>
            </w:tcBorders>
            <w:shd w:val="clear" w:color="auto" w:fill="F0F0F0"/>
            <w:tcMar>
              <w:top w:w="80" w:type="dxa"/>
              <w:left w:w="80" w:type="dxa"/>
              <w:bottom w:w="80" w:type="dxa"/>
              <w:right w:w="80" w:type="dxa"/>
            </w:tcMar>
            <w:vAlign w:val="top"/>
          </w:tcPr>
          <w:p>
            <w:pPr>
              <w:jc w:val="left"/>
            </w:pPr>
            <w:r>
              <w:t>Grund der Änderung, besondere Hinweise</w:t>
            </w:r>
          </w:p>
        </w:tc>
        <w:tc>
          <w:tcPr>
            <w:tcW w:w="2010" w:type="dxa"/>
            <w:tcBorders>
              <w:top w:val="single" w:sz="8" w:space="0" w:color="CCCCCC"/>
              <w:left w:val="single" w:sz="8" w:space="0" w:color="CCCCCC"/>
              <w:bottom w:val="single" w:sz="8" w:space="0" w:color="CCCCCC"/>
              <w:right w:val="single" w:sz="8" w:space="0" w:color="CCCCCC"/>
            </w:tcBorders>
            <w:shd w:val="clear" w:color="auto" w:fill="F0F0F0"/>
            <w:tcMar>
              <w:top w:w="80" w:type="dxa"/>
              <w:left w:w="80" w:type="dxa"/>
              <w:bottom w:w="80" w:type="dxa"/>
              <w:right w:w="80" w:type="dxa"/>
            </w:tcMar>
            <w:vAlign w:val="top"/>
          </w:tcPr>
          <w:p>
            <w:pPr>
              <w:jc w:val="left"/>
            </w:pPr>
            <w:r>
              <w:t>Bearbeitung</w:t>
            </w:r>
          </w:p>
        </w:tc>
      </w:tr>
      <w:tr>
        <w:tblPrEx>
          <w:tblW w:w="5000" w:type="pct"/>
          <w:jc w:val="center"/>
        </w:tblPrEx>
        <w:trPr>
          <w:divId w:val="25"/>
          <w:trHeight w:val="280"/>
          <w:jc w:val="center"/>
        </w:trPr>
        <w:tc>
          <w:tcPr>
            <w:tcW w:w="114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1.0.0_CC</w:t>
            </w:r>
          </w:p>
        </w:tc>
        <w:tc>
          <w:tcPr>
            <w:tcW w:w="129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15.04.2024</w:t>
            </w:r>
          </w:p>
        </w:tc>
        <w:tc>
          <w:tcPr>
            <w:tcW w:w="94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w:t>
            </w:r>
          </w:p>
        </w:tc>
        <w:tc>
          <w:tcPr>
            <w:tcW w:w="495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initiale Erstellung</w:t>
            </w:r>
          </w:p>
        </w:tc>
        <w:tc>
          <w:tcPr>
            <w:tcW w:w="201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gematik</w:t>
            </w:r>
          </w:p>
        </w:tc>
      </w:tr>
      <w:tr>
        <w:tblPrEx>
          <w:tblW w:w="5000" w:type="pct"/>
          <w:jc w:val="center"/>
        </w:tblPrEx>
        <w:trPr>
          <w:divId w:val="25"/>
          <w:trHeight w:val="280"/>
          <w:jc w:val="center"/>
        </w:trPr>
        <w:tc>
          <w:tcPr>
            <w:tcW w:w="114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1.0.1_CC</w:t>
            </w:r>
          </w:p>
        </w:tc>
        <w:tc>
          <w:tcPr>
            <w:tcW w:w="129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07.06.2024</w:t>
            </w:r>
          </w:p>
        </w:tc>
        <w:tc>
          <w:tcPr>
            <w:tcW w:w="94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w:t>
            </w:r>
          </w:p>
        </w:tc>
        <w:tc>
          <w:tcPr>
            <w:tcW w:w="495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ZT für LE-Zugang hinzugefügt</w:t>
            </w:r>
          </w:p>
        </w:tc>
        <w:tc>
          <w:tcPr>
            <w:tcW w:w="201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gematik</w:t>
            </w:r>
          </w:p>
        </w:tc>
      </w:tr>
    </w:tbl>
    <w:p>
      <w:pPr>
        <w:divId w:val="26"/>
      </w:pPr>
      <w:r>
        <w:t>​​</w:t>
      </w:r>
    </w:p>
    <w:p>
      <w:pPr>
        <w:pStyle w:val="Title"/>
        <w:divId w:val="27"/>
      </w:pPr>
      <w:r>
        <w:t>Inhaltsverzeichnis</w:t>
      </w:r>
    </w:p>
    <w:permStart w:id="0" w:edGrp="everyone"/>
    <w:p>
      <w:pPr>
        <w:pStyle w:val="TOC1"/>
        <w:tabs>
          <w:tab w:val="right" w:leader="dot" w:pos="9060"/>
        </w:tabs>
        <w:rPr>
          <w:rFonts w:asciiTheme="minorHAnsi" w:hAnsiTheme="minorHAnsi"/>
          <w:noProof/>
          <w:sz w:val="22"/>
        </w:rPr>
      </w:pPr>
      <w:r w:rsidRPr="00F135F8">
        <w:rPr>
          <w:szCs w:val="20"/>
        </w:rPr>
        <w:fldChar w:fldCharType="begin"/>
      </w:r>
      <w:r w:rsidRPr="00F135F8">
        <w:rPr>
          <w:szCs w:val="20"/>
          <w:lang w:val="en-US"/>
        </w:rPr>
        <w:instrText>TOC \o "1-5" \h \z \t "gem_nonum_Ü4;4;gem_Ü5;5;gem_Ü4;4;gem_Ü1;1"</w:instrText>
      </w:r>
      <w:r w:rsidRPr="00F135F8">
        <w:rPr>
          <w:szCs w:val="20"/>
        </w:rPr>
        <w:fldChar w:fldCharType="separate"/>
      </w:r>
      <w:hyperlink w:anchor="_Toc256000000" w:history="1">
        <w:r>
          <w:rPr>
            <w:rStyle w:val="Hyperlink"/>
          </w:rPr>
          <w:t>1</w:t>
        </w:r>
        <w:r>
          <w:rPr>
            <w:rStyle w:val="Hyperlink"/>
          </w:rPr>
          <w:t xml:space="preserve"> </w:t>
        </w:r>
        <w:r>
          <w:rPr>
            <w:rStyle w:val="Hyperlink"/>
          </w:rPr>
          <w:t>Einordnung des Dokuments</w:t>
        </w:r>
        <w:r>
          <w:tab/>
        </w:r>
        <w:r>
          <w:fldChar w:fldCharType="begin"/>
        </w:r>
        <w:r>
          <w:instrText xml:space="preserve"> PAGEREF _Toc256000000 \h </w:instrText>
        </w:r>
        <w:r>
          <w:fldChar w:fldCharType="separate"/>
        </w:r>
        <w:r>
          <w:t>6</w:t>
        </w:r>
        <w:r>
          <w:fldChar w:fldCharType="end"/>
        </w:r>
      </w:hyperlink>
    </w:p>
    <w:p>
      <w:pPr>
        <w:pStyle w:val="TOC2"/>
        <w:tabs>
          <w:tab w:val="right" w:leader="dot" w:pos="9060"/>
        </w:tabs>
        <w:rPr>
          <w:rFonts w:asciiTheme="minorHAnsi" w:hAnsiTheme="minorHAnsi"/>
          <w:noProof/>
          <w:sz w:val="22"/>
        </w:rPr>
      </w:pPr>
      <w:hyperlink w:anchor="_Toc256000001" w:history="1">
        <w:r>
          <w:rPr>
            <w:rStyle w:val="Hyperlink"/>
          </w:rPr>
          <w:t>1.1</w:t>
        </w:r>
        <w:r>
          <w:rPr>
            <w:rStyle w:val="Hyperlink"/>
          </w:rPr>
          <w:t xml:space="preserve"> </w:t>
        </w:r>
        <w:r>
          <w:rPr>
            <w:rStyle w:val="Hyperlink"/>
          </w:rPr>
          <w:t>Zielsetzung</w:t>
        </w:r>
        <w:r>
          <w:tab/>
        </w:r>
        <w:r>
          <w:fldChar w:fldCharType="begin"/>
        </w:r>
        <w:r>
          <w:instrText xml:space="preserve"> PAGEREF _Toc256000001 \h </w:instrText>
        </w:r>
        <w:r>
          <w:fldChar w:fldCharType="separate"/>
        </w:r>
        <w:r>
          <w:t>6</w:t>
        </w:r>
        <w:r>
          <w:fldChar w:fldCharType="end"/>
        </w:r>
      </w:hyperlink>
    </w:p>
    <w:p>
      <w:pPr>
        <w:pStyle w:val="TOC2"/>
        <w:tabs>
          <w:tab w:val="right" w:leader="dot" w:pos="9060"/>
        </w:tabs>
        <w:rPr>
          <w:rFonts w:asciiTheme="minorHAnsi" w:hAnsiTheme="minorHAnsi"/>
          <w:noProof/>
          <w:sz w:val="22"/>
        </w:rPr>
      </w:pPr>
      <w:hyperlink w:anchor="_Toc256000002" w:history="1">
        <w:r>
          <w:rPr>
            <w:rStyle w:val="Hyperlink"/>
          </w:rPr>
          <w:t>1.2</w:t>
        </w:r>
        <w:r>
          <w:rPr>
            <w:rStyle w:val="Hyperlink"/>
          </w:rPr>
          <w:t xml:space="preserve"> </w:t>
        </w:r>
        <w:r>
          <w:rPr>
            <w:rStyle w:val="Hyperlink"/>
          </w:rPr>
          <w:t>Zielgruppe</w:t>
        </w:r>
        <w:r>
          <w:tab/>
        </w:r>
        <w:r>
          <w:fldChar w:fldCharType="begin"/>
        </w:r>
        <w:r>
          <w:instrText xml:space="preserve"> PAGEREF _Toc256000002 \h </w:instrText>
        </w:r>
        <w:r>
          <w:fldChar w:fldCharType="separate"/>
        </w:r>
        <w:r>
          <w:t>6</w:t>
        </w:r>
        <w:r>
          <w:fldChar w:fldCharType="end"/>
        </w:r>
      </w:hyperlink>
    </w:p>
    <w:p>
      <w:pPr>
        <w:pStyle w:val="TOC2"/>
        <w:tabs>
          <w:tab w:val="right" w:leader="dot" w:pos="9060"/>
        </w:tabs>
        <w:rPr>
          <w:rFonts w:asciiTheme="minorHAnsi" w:hAnsiTheme="minorHAnsi"/>
          <w:noProof/>
          <w:sz w:val="22"/>
        </w:rPr>
      </w:pPr>
      <w:hyperlink w:anchor="_Toc256000003" w:history="1">
        <w:r>
          <w:rPr>
            <w:rStyle w:val="Hyperlink"/>
          </w:rPr>
          <w:t>1.3</w:t>
        </w:r>
        <w:r>
          <w:rPr>
            <w:rStyle w:val="Hyperlink"/>
          </w:rPr>
          <w:t xml:space="preserve"> </w:t>
        </w:r>
        <w:r>
          <w:rPr>
            <w:rStyle w:val="Hyperlink"/>
          </w:rPr>
          <w:t>Abgrenzungen</w:t>
        </w:r>
        <w:r>
          <w:tab/>
        </w:r>
        <w:r>
          <w:fldChar w:fldCharType="begin"/>
        </w:r>
        <w:r>
          <w:instrText xml:space="preserve"> PAGEREF _Toc256000003 \h </w:instrText>
        </w:r>
        <w:r>
          <w:fldChar w:fldCharType="separate"/>
        </w:r>
        <w:r>
          <w:t>6</w:t>
        </w:r>
        <w:r>
          <w:fldChar w:fldCharType="end"/>
        </w:r>
      </w:hyperlink>
    </w:p>
    <w:p>
      <w:pPr>
        <w:pStyle w:val="TOC2"/>
        <w:tabs>
          <w:tab w:val="right" w:leader="dot" w:pos="9060"/>
        </w:tabs>
        <w:rPr>
          <w:rFonts w:asciiTheme="minorHAnsi" w:hAnsiTheme="minorHAnsi"/>
          <w:noProof/>
          <w:sz w:val="22"/>
        </w:rPr>
      </w:pPr>
      <w:hyperlink w:anchor="_Toc256000004" w:history="1">
        <w:r>
          <w:rPr>
            <w:rStyle w:val="Hyperlink"/>
          </w:rPr>
          <w:t>1.4</w:t>
        </w:r>
        <w:r>
          <w:rPr>
            <w:rStyle w:val="Hyperlink"/>
          </w:rPr>
          <w:t xml:space="preserve"> </w:t>
        </w:r>
        <w:r>
          <w:rPr>
            <w:rStyle w:val="Hyperlink"/>
          </w:rPr>
          <w:t>Methodik</w:t>
        </w:r>
        <w:r>
          <w:tab/>
        </w:r>
        <w:r>
          <w:fldChar w:fldCharType="begin"/>
        </w:r>
        <w:r>
          <w:instrText xml:space="preserve"> PAGEREF _Toc256000004 \h </w:instrText>
        </w:r>
        <w:r>
          <w:fldChar w:fldCharType="separate"/>
        </w:r>
        <w:r>
          <w:t>7</w:t>
        </w:r>
        <w:r>
          <w:fldChar w:fldCharType="end"/>
        </w:r>
      </w:hyperlink>
    </w:p>
    <w:p>
      <w:pPr>
        <w:pStyle w:val="TOC3"/>
        <w:tabs>
          <w:tab w:val="right" w:leader="dot" w:pos="9060"/>
        </w:tabs>
        <w:rPr>
          <w:rFonts w:asciiTheme="minorHAnsi" w:hAnsiTheme="minorHAnsi"/>
          <w:noProof/>
          <w:sz w:val="22"/>
        </w:rPr>
      </w:pPr>
      <w:hyperlink w:anchor="_Toc256000005" w:history="1">
        <w:r>
          <w:rPr>
            <w:rStyle w:val="Hyperlink"/>
          </w:rPr>
          <w:t>1.4.1</w:t>
        </w:r>
        <w:r>
          <w:rPr>
            <w:rStyle w:val="Hyperlink"/>
          </w:rPr>
          <w:t xml:space="preserve"> </w:t>
        </w:r>
        <w:r>
          <w:rPr>
            <w:rStyle w:val="Hyperlink"/>
          </w:rPr>
          <w:t>Anforderungen</w:t>
        </w:r>
        <w:r>
          <w:tab/>
        </w:r>
        <w:r>
          <w:fldChar w:fldCharType="begin"/>
        </w:r>
        <w:r>
          <w:instrText xml:space="preserve"> PAGEREF _Toc256000005 \h </w:instrText>
        </w:r>
        <w:r>
          <w:fldChar w:fldCharType="separate"/>
        </w:r>
        <w:r>
          <w:t>7</w:t>
        </w:r>
        <w:r>
          <w:fldChar w:fldCharType="end"/>
        </w:r>
      </w:hyperlink>
    </w:p>
    <w:p>
      <w:pPr>
        <w:pStyle w:val="TOC1"/>
        <w:tabs>
          <w:tab w:val="right" w:leader="dot" w:pos="9060"/>
        </w:tabs>
        <w:rPr>
          <w:rFonts w:asciiTheme="minorHAnsi" w:hAnsiTheme="minorHAnsi"/>
          <w:noProof/>
          <w:sz w:val="22"/>
        </w:rPr>
      </w:pPr>
      <w:hyperlink w:anchor="_Toc256000006" w:history="1">
        <w:r>
          <w:rPr>
            <w:rStyle w:val="Hyperlink"/>
          </w:rPr>
          <w:t>2</w:t>
        </w:r>
        <w:r>
          <w:rPr>
            <w:rStyle w:val="Hyperlink"/>
          </w:rPr>
          <w:t xml:space="preserve"> </w:t>
        </w:r>
        <w:r>
          <w:rPr>
            <w:rStyle w:val="Hyperlink"/>
          </w:rPr>
          <w:t>Features und Epics</w:t>
        </w:r>
        <w:r>
          <w:tab/>
        </w:r>
        <w:r>
          <w:fldChar w:fldCharType="begin"/>
        </w:r>
        <w:r>
          <w:instrText xml:space="preserve"> PAGEREF _Toc256000006 \h </w:instrText>
        </w:r>
        <w:r>
          <w:fldChar w:fldCharType="separate"/>
        </w:r>
        <w:r>
          <w:t>8</w:t>
        </w:r>
        <w:r>
          <w:fldChar w:fldCharType="end"/>
        </w:r>
      </w:hyperlink>
    </w:p>
    <w:p>
      <w:pPr>
        <w:pStyle w:val="TOC2"/>
        <w:tabs>
          <w:tab w:val="right" w:leader="dot" w:pos="9060"/>
        </w:tabs>
        <w:rPr>
          <w:rFonts w:asciiTheme="minorHAnsi" w:hAnsiTheme="minorHAnsi"/>
          <w:noProof/>
          <w:sz w:val="22"/>
        </w:rPr>
      </w:pPr>
      <w:hyperlink w:anchor="_Toc256000007" w:history="1">
        <w:r>
          <w:rPr>
            <w:rStyle w:val="Hyperlink"/>
          </w:rPr>
          <w:t>2.1</w:t>
        </w:r>
        <w:r>
          <w:rPr>
            <w:rStyle w:val="Hyperlink"/>
          </w:rPr>
          <w:t xml:space="preserve"> </w:t>
        </w:r>
        <w:r>
          <w:rPr>
            <w:rStyle w:val="Hyperlink"/>
          </w:rPr>
          <w:t>Clientregistrierung</w:t>
        </w:r>
        <w:r>
          <w:tab/>
        </w:r>
        <w:r>
          <w:fldChar w:fldCharType="begin"/>
        </w:r>
        <w:r>
          <w:instrText xml:space="preserve"> PAGEREF _Toc256000007 \h </w:instrText>
        </w:r>
        <w:r>
          <w:fldChar w:fldCharType="separate"/>
        </w:r>
        <w:r>
          <w:t>8</w:t>
        </w:r>
        <w:r>
          <w:fldChar w:fldCharType="end"/>
        </w:r>
      </w:hyperlink>
    </w:p>
    <w:p>
      <w:pPr>
        <w:pStyle w:val="TOC3"/>
        <w:tabs>
          <w:tab w:val="right" w:leader="dot" w:pos="9060"/>
        </w:tabs>
        <w:rPr>
          <w:rFonts w:asciiTheme="minorHAnsi" w:hAnsiTheme="minorHAnsi"/>
          <w:noProof/>
          <w:sz w:val="22"/>
        </w:rPr>
      </w:pPr>
      <w:hyperlink w:anchor="_Toc256000008" w:history="1">
        <w:r>
          <w:rPr>
            <w:rStyle w:val="Hyperlink"/>
          </w:rPr>
          <w:t>2.1.1</w:t>
        </w:r>
        <w:r>
          <w:rPr>
            <w:rStyle w:val="Hyperlink"/>
          </w:rPr>
          <w:t xml:space="preserve"> </w:t>
        </w:r>
        <w:r>
          <w:rPr>
            <w:rStyle w:val="Hyperlink"/>
          </w:rPr>
          <w:t>Wiedererkennung bekannter Clients</w:t>
        </w:r>
        <w:r>
          <w:tab/>
        </w:r>
        <w:r>
          <w:fldChar w:fldCharType="begin"/>
        </w:r>
        <w:r>
          <w:instrText xml:space="preserve"> PAGEREF _Toc256000008 \h </w:instrText>
        </w:r>
        <w:r>
          <w:fldChar w:fldCharType="separate"/>
        </w:r>
        <w:r>
          <w:t>8</w:t>
        </w:r>
        <w:r>
          <w:fldChar w:fldCharType="end"/>
        </w:r>
      </w:hyperlink>
    </w:p>
    <w:p>
      <w:pPr>
        <w:pStyle w:val="TOC3"/>
        <w:tabs>
          <w:tab w:val="right" w:leader="dot" w:pos="9060"/>
        </w:tabs>
        <w:rPr>
          <w:rFonts w:asciiTheme="minorHAnsi" w:hAnsiTheme="minorHAnsi"/>
          <w:noProof/>
          <w:sz w:val="22"/>
        </w:rPr>
      </w:pPr>
      <w:hyperlink w:anchor="_Toc256000009" w:history="1">
        <w:r>
          <w:rPr>
            <w:rStyle w:val="Hyperlink"/>
          </w:rPr>
          <w:t>2.1.2</w:t>
        </w:r>
        <w:r>
          <w:rPr>
            <w:rStyle w:val="Hyperlink"/>
          </w:rPr>
          <w:t xml:space="preserve"> </w:t>
        </w:r>
        <w:r>
          <w:rPr>
            <w:rStyle w:val="Hyperlink"/>
          </w:rPr>
          <w:t>Device Security Rating</w:t>
        </w:r>
        <w:r>
          <w:tab/>
        </w:r>
        <w:r>
          <w:fldChar w:fldCharType="begin"/>
        </w:r>
        <w:r>
          <w:instrText xml:space="preserve"> PAGEREF _Toc256000009 \h </w:instrText>
        </w:r>
        <w:r>
          <w:fldChar w:fldCharType="separate"/>
        </w:r>
        <w:r>
          <w:t>8</w:t>
        </w:r>
        <w:r>
          <w:fldChar w:fldCharType="end"/>
        </w:r>
      </w:hyperlink>
    </w:p>
    <w:p>
      <w:pPr>
        <w:pStyle w:val="TOC2"/>
        <w:tabs>
          <w:tab w:val="right" w:leader="dot" w:pos="9060"/>
        </w:tabs>
        <w:rPr>
          <w:rFonts w:asciiTheme="minorHAnsi" w:hAnsiTheme="minorHAnsi"/>
          <w:noProof/>
          <w:sz w:val="22"/>
        </w:rPr>
      </w:pPr>
      <w:hyperlink w:anchor="_Toc256000010" w:history="1">
        <w:r>
          <w:rPr>
            <w:rStyle w:val="Hyperlink"/>
          </w:rPr>
          <w:t>2.2</w:t>
        </w:r>
        <w:r>
          <w:rPr>
            <w:rStyle w:val="Hyperlink"/>
          </w:rPr>
          <w:t xml:space="preserve"> </w:t>
        </w:r>
        <w:r>
          <w:rPr>
            <w:rStyle w:val="Hyperlink"/>
          </w:rPr>
          <w:t>Policy Enforcement</w:t>
        </w:r>
        <w:r>
          <w:tab/>
        </w:r>
        <w:r>
          <w:fldChar w:fldCharType="begin"/>
        </w:r>
        <w:r>
          <w:instrText xml:space="preserve"> PAGEREF _Toc256000010 \h </w:instrText>
        </w:r>
        <w:r>
          <w:fldChar w:fldCharType="separate"/>
        </w:r>
        <w:r>
          <w:t>8</w:t>
        </w:r>
        <w:r>
          <w:fldChar w:fldCharType="end"/>
        </w:r>
      </w:hyperlink>
    </w:p>
    <w:p>
      <w:pPr>
        <w:pStyle w:val="TOC3"/>
        <w:tabs>
          <w:tab w:val="right" w:leader="dot" w:pos="9060"/>
        </w:tabs>
        <w:rPr>
          <w:rFonts w:asciiTheme="minorHAnsi" w:hAnsiTheme="minorHAnsi"/>
          <w:noProof/>
          <w:sz w:val="22"/>
        </w:rPr>
      </w:pPr>
      <w:hyperlink w:anchor="_Toc256000011" w:history="1">
        <w:r>
          <w:rPr>
            <w:rStyle w:val="Hyperlink"/>
          </w:rPr>
          <w:t>2.2.1</w:t>
        </w:r>
        <w:r>
          <w:rPr>
            <w:rStyle w:val="Hyperlink"/>
          </w:rPr>
          <w:t xml:space="preserve"> </w:t>
        </w:r>
        <w:r>
          <w:rPr>
            <w:rStyle w:val="Hyperlink"/>
          </w:rPr>
          <w:t>Zugriffsschutz</w:t>
        </w:r>
        <w:r>
          <w:tab/>
        </w:r>
        <w:r>
          <w:fldChar w:fldCharType="begin"/>
        </w:r>
        <w:r>
          <w:instrText xml:space="preserve"> PAGEREF _Toc256000011 \h </w:instrText>
        </w:r>
        <w:r>
          <w:fldChar w:fldCharType="separate"/>
        </w:r>
        <w:r>
          <w:t>9</w:t>
        </w:r>
        <w:r>
          <w:fldChar w:fldCharType="end"/>
        </w:r>
      </w:hyperlink>
    </w:p>
    <w:p>
      <w:pPr>
        <w:pStyle w:val="TOC3"/>
        <w:tabs>
          <w:tab w:val="right" w:leader="dot" w:pos="9060"/>
        </w:tabs>
        <w:rPr>
          <w:rFonts w:asciiTheme="minorHAnsi" w:hAnsiTheme="minorHAnsi"/>
          <w:noProof/>
          <w:sz w:val="22"/>
        </w:rPr>
      </w:pPr>
      <w:hyperlink w:anchor="_Toc256000012" w:history="1">
        <w:r>
          <w:rPr>
            <w:rStyle w:val="Hyperlink"/>
          </w:rPr>
          <w:t>2.2.2</w:t>
        </w:r>
        <w:r>
          <w:rPr>
            <w:rStyle w:val="Hyperlink"/>
          </w:rPr>
          <w:t xml:space="preserve"> </w:t>
        </w:r>
        <w:r>
          <w:rPr>
            <w:rStyle w:val="Hyperlink"/>
          </w:rPr>
          <w:t>http Proxy</w:t>
        </w:r>
        <w:r>
          <w:tab/>
        </w:r>
        <w:r>
          <w:fldChar w:fldCharType="begin"/>
        </w:r>
        <w:r>
          <w:instrText xml:space="preserve"> PAGEREF _Toc256000012 \h </w:instrText>
        </w:r>
        <w:r>
          <w:fldChar w:fldCharType="separate"/>
        </w:r>
        <w:r>
          <w:t>9</w:t>
        </w:r>
        <w:r>
          <w:fldChar w:fldCharType="end"/>
        </w:r>
      </w:hyperlink>
    </w:p>
    <w:p>
      <w:pPr>
        <w:pStyle w:val="TOC2"/>
        <w:tabs>
          <w:tab w:val="right" w:leader="dot" w:pos="9060"/>
        </w:tabs>
        <w:rPr>
          <w:rFonts w:asciiTheme="minorHAnsi" w:hAnsiTheme="minorHAnsi"/>
          <w:noProof/>
          <w:sz w:val="22"/>
        </w:rPr>
      </w:pPr>
      <w:hyperlink w:anchor="_Toc256000013" w:history="1">
        <w:r>
          <w:rPr>
            <w:rStyle w:val="Hyperlink"/>
          </w:rPr>
          <w:t>2.3</w:t>
        </w:r>
        <w:r>
          <w:rPr>
            <w:rStyle w:val="Hyperlink"/>
          </w:rPr>
          <w:t xml:space="preserve"> </w:t>
        </w:r>
        <w:r>
          <w:rPr>
            <w:rStyle w:val="Hyperlink"/>
          </w:rPr>
          <w:t>Decide from Policies</w:t>
        </w:r>
        <w:r>
          <w:tab/>
        </w:r>
        <w:r>
          <w:fldChar w:fldCharType="begin"/>
        </w:r>
        <w:r>
          <w:instrText xml:space="preserve"> PAGEREF _Toc256000013 \h </w:instrText>
        </w:r>
        <w:r>
          <w:fldChar w:fldCharType="separate"/>
        </w:r>
        <w:r>
          <w:t>9</w:t>
        </w:r>
        <w:r>
          <w:fldChar w:fldCharType="end"/>
        </w:r>
      </w:hyperlink>
    </w:p>
    <w:p>
      <w:pPr>
        <w:pStyle w:val="TOC3"/>
        <w:tabs>
          <w:tab w:val="right" w:leader="dot" w:pos="9060"/>
        </w:tabs>
        <w:rPr>
          <w:rFonts w:asciiTheme="minorHAnsi" w:hAnsiTheme="minorHAnsi"/>
          <w:noProof/>
          <w:sz w:val="22"/>
        </w:rPr>
      </w:pPr>
      <w:hyperlink w:anchor="_Toc256000014" w:history="1">
        <w:r>
          <w:rPr>
            <w:rStyle w:val="Hyperlink"/>
          </w:rPr>
          <w:t>2.3.1</w:t>
        </w:r>
        <w:r>
          <w:rPr>
            <w:rStyle w:val="Hyperlink"/>
          </w:rPr>
          <w:t xml:space="preserve"> </w:t>
        </w:r>
        <w:r>
          <w:rPr>
            <w:rStyle w:val="Hyperlink"/>
          </w:rPr>
          <w:t>Maschinenlesbare Zugriffsregeln</w:t>
        </w:r>
        <w:r>
          <w:tab/>
        </w:r>
        <w:r>
          <w:fldChar w:fldCharType="begin"/>
        </w:r>
        <w:r>
          <w:instrText xml:space="preserve"> PAGEREF _Toc256000014 \h </w:instrText>
        </w:r>
        <w:r>
          <w:fldChar w:fldCharType="separate"/>
        </w:r>
        <w:r>
          <w:t>9</w:t>
        </w:r>
        <w:r>
          <w:fldChar w:fldCharType="end"/>
        </w:r>
      </w:hyperlink>
    </w:p>
    <w:p>
      <w:pPr>
        <w:pStyle w:val="TOC3"/>
        <w:tabs>
          <w:tab w:val="right" w:leader="dot" w:pos="9060"/>
        </w:tabs>
        <w:rPr>
          <w:rFonts w:asciiTheme="minorHAnsi" w:hAnsiTheme="minorHAnsi"/>
          <w:noProof/>
          <w:sz w:val="22"/>
        </w:rPr>
      </w:pPr>
      <w:hyperlink w:anchor="_Toc256000015" w:history="1">
        <w:r>
          <w:rPr>
            <w:rStyle w:val="Hyperlink"/>
          </w:rPr>
          <w:t>2.3.2</w:t>
        </w:r>
        <w:r>
          <w:rPr>
            <w:rStyle w:val="Hyperlink"/>
          </w:rPr>
          <w:t xml:space="preserve"> </w:t>
        </w:r>
        <w:r>
          <w:rPr>
            <w:rStyle w:val="Hyperlink"/>
          </w:rPr>
          <w:t>Ein reproduzierbares Ja/Nein/Vielleicht</w:t>
        </w:r>
        <w:r>
          <w:tab/>
        </w:r>
        <w:r>
          <w:fldChar w:fldCharType="begin"/>
        </w:r>
        <w:r>
          <w:instrText xml:space="preserve"> PAGEREF _Toc256000015 \h </w:instrText>
        </w:r>
        <w:r>
          <w:fldChar w:fldCharType="separate"/>
        </w:r>
        <w:r>
          <w:t>9</w:t>
        </w:r>
        <w:r>
          <w:fldChar w:fldCharType="end"/>
        </w:r>
      </w:hyperlink>
    </w:p>
    <w:p>
      <w:pPr>
        <w:pStyle w:val="TOC3"/>
        <w:tabs>
          <w:tab w:val="right" w:leader="dot" w:pos="9060"/>
        </w:tabs>
        <w:rPr>
          <w:rFonts w:asciiTheme="minorHAnsi" w:hAnsiTheme="minorHAnsi"/>
          <w:noProof/>
          <w:sz w:val="22"/>
        </w:rPr>
      </w:pPr>
      <w:hyperlink w:anchor="_Toc256000016" w:history="1">
        <w:r>
          <w:rPr>
            <w:rStyle w:val="Hyperlink"/>
          </w:rPr>
          <w:t>2.3.3</w:t>
        </w:r>
        <w:r>
          <w:rPr>
            <w:rStyle w:val="Hyperlink"/>
          </w:rPr>
          <w:t xml:space="preserve"> </w:t>
        </w:r>
        <w:r>
          <w:rPr>
            <w:rStyle w:val="Hyperlink"/>
          </w:rPr>
          <w:t>Policies nach Betroffenheit</w:t>
        </w:r>
        <w:r>
          <w:tab/>
        </w:r>
        <w:r>
          <w:fldChar w:fldCharType="begin"/>
        </w:r>
        <w:r>
          <w:instrText xml:space="preserve"> PAGEREF _Toc256000016 \h </w:instrText>
        </w:r>
        <w:r>
          <w:fldChar w:fldCharType="separate"/>
        </w:r>
        <w:r>
          <w:t>9</w:t>
        </w:r>
        <w:r>
          <w:fldChar w:fldCharType="end"/>
        </w:r>
      </w:hyperlink>
    </w:p>
    <w:p>
      <w:pPr>
        <w:pStyle w:val="TOC2"/>
        <w:tabs>
          <w:tab w:val="right" w:leader="dot" w:pos="9060"/>
        </w:tabs>
        <w:rPr>
          <w:rFonts w:asciiTheme="minorHAnsi" w:hAnsiTheme="minorHAnsi"/>
          <w:noProof/>
          <w:sz w:val="22"/>
        </w:rPr>
      </w:pPr>
      <w:hyperlink w:anchor="_Toc256000017" w:history="1">
        <w:r>
          <w:rPr>
            <w:rStyle w:val="Hyperlink"/>
          </w:rPr>
          <w:t>2.4</w:t>
        </w:r>
        <w:r>
          <w:rPr>
            <w:rStyle w:val="Hyperlink"/>
          </w:rPr>
          <w:t xml:space="preserve"> </w:t>
        </w:r>
        <w:r>
          <w:rPr>
            <w:rStyle w:val="Hyperlink"/>
          </w:rPr>
          <w:t>Policy Information und Administration</w:t>
        </w:r>
        <w:r>
          <w:tab/>
        </w:r>
        <w:r>
          <w:fldChar w:fldCharType="begin"/>
        </w:r>
        <w:r>
          <w:instrText xml:space="preserve"> PAGEREF _Toc256000017 \h </w:instrText>
        </w:r>
        <w:r>
          <w:fldChar w:fldCharType="separate"/>
        </w:r>
        <w:r>
          <w:t>9</w:t>
        </w:r>
        <w:r>
          <w:fldChar w:fldCharType="end"/>
        </w:r>
      </w:hyperlink>
    </w:p>
    <w:p>
      <w:pPr>
        <w:pStyle w:val="TOC3"/>
        <w:tabs>
          <w:tab w:val="right" w:leader="dot" w:pos="9060"/>
        </w:tabs>
        <w:rPr>
          <w:rFonts w:asciiTheme="minorHAnsi" w:hAnsiTheme="minorHAnsi"/>
          <w:noProof/>
          <w:sz w:val="22"/>
        </w:rPr>
      </w:pPr>
      <w:hyperlink w:anchor="_Toc256000018" w:history="1">
        <w:r>
          <w:rPr>
            <w:rStyle w:val="Hyperlink"/>
          </w:rPr>
          <w:t>2.4.1</w:t>
        </w:r>
        <w:r>
          <w:rPr>
            <w:rStyle w:val="Hyperlink"/>
          </w:rPr>
          <w:t xml:space="preserve"> </w:t>
        </w:r>
        <w:r>
          <w:rPr>
            <w:rStyle w:val="Hyperlink"/>
          </w:rPr>
          <w:t>Policy Verwaltung</w:t>
        </w:r>
        <w:r>
          <w:tab/>
        </w:r>
        <w:r>
          <w:fldChar w:fldCharType="begin"/>
        </w:r>
        <w:r>
          <w:instrText xml:space="preserve"> PAGEREF _Toc256000018 \h </w:instrText>
        </w:r>
        <w:r>
          <w:fldChar w:fldCharType="separate"/>
        </w:r>
        <w:r>
          <w:t>9</w:t>
        </w:r>
        <w:r>
          <w:fldChar w:fldCharType="end"/>
        </w:r>
      </w:hyperlink>
    </w:p>
    <w:p>
      <w:pPr>
        <w:pStyle w:val="TOC3"/>
        <w:tabs>
          <w:tab w:val="right" w:leader="dot" w:pos="9060"/>
        </w:tabs>
        <w:rPr>
          <w:rFonts w:asciiTheme="minorHAnsi" w:hAnsiTheme="minorHAnsi"/>
          <w:noProof/>
          <w:sz w:val="22"/>
        </w:rPr>
      </w:pPr>
      <w:hyperlink w:anchor="_Toc256000019" w:history="1">
        <w:r>
          <w:rPr>
            <w:rStyle w:val="Hyperlink"/>
          </w:rPr>
          <w:t>2.4.2</w:t>
        </w:r>
        <w:r>
          <w:rPr>
            <w:rStyle w:val="Hyperlink"/>
          </w:rPr>
          <w:t xml:space="preserve"> </w:t>
        </w:r>
        <w:r>
          <w:rPr>
            <w:rStyle w:val="Hyperlink"/>
          </w:rPr>
          <w:t>Monitoring</w:t>
        </w:r>
        <w:r>
          <w:tab/>
        </w:r>
        <w:r>
          <w:fldChar w:fldCharType="begin"/>
        </w:r>
        <w:r>
          <w:instrText xml:space="preserve"> PAGEREF _Toc256000019 \h </w:instrText>
        </w:r>
        <w:r>
          <w:fldChar w:fldCharType="separate"/>
        </w:r>
        <w:r>
          <w:t>10</w:t>
        </w:r>
        <w:r>
          <w:fldChar w:fldCharType="end"/>
        </w:r>
      </w:hyperlink>
    </w:p>
    <w:p>
      <w:pPr>
        <w:pStyle w:val="TOC2"/>
        <w:tabs>
          <w:tab w:val="right" w:leader="dot" w:pos="9060"/>
        </w:tabs>
        <w:rPr>
          <w:rFonts w:asciiTheme="minorHAnsi" w:hAnsiTheme="minorHAnsi"/>
          <w:noProof/>
          <w:sz w:val="22"/>
        </w:rPr>
      </w:pPr>
      <w:hyperlink w:anchor="_Toc256000020" w:history="1">
        <w:r>
          <w:rPr>
            <w:rStyle w:val="Hyperlink"/>
          </w:rPr>
          <w:t>2.5</w:t>
        </w:r>
        <w:r>
          <w:rPr>
            <w:rStyle w:val="Hyperlink"/>
          </w:rPr>
          <w:t xml:space="preserve"> </w:t>
        </w:r>
        <w:r>
          <w:rPr>
            <w:rStyle w:val="Hyperlink"/>
          </w:rPr>
          <w:t>Client Authorization</w:t>
        </w:r>
        <w:r>
          <w:tab/>
        </w:r>
        <w:r>
          <w:fldChar w:fldCharType="begin"/>
        </w:r>
        <w:r>
          <w:instrText xml:space="preserve"> PAGEREF _Toc256000020 \h </w:instrText>
        </w:r>
        <w:r>
          <w:fldChar w:fldCharType="separate"/>
        </w:r>
        <w:r>
          <w:t>10</w:t>
        </w:r>
        <w:r>
          <w:fldChar w:fldCharType="end"/>
        </w:r>
      </w:hyperlink>
    </w:p>
    <w:p>
      <w:pPr>
        <w:pStyle w:val="TOC3"/>
        <w:tabs>
          <w:tab w:val="right" w:leader="dot" w:pos="9060"/>
        </w:tabs>
        <w:rPr>
          <w:rFonts w:asciiTheme="minorHAnsi" w:hAnsiTheme="minorHAnsi"/>
          <w:noProof/>
          <w:sz w:val="22"/>
        </w:rPr>
      </w:pPr>
      <w:hyperlink w:anchor="_Toc256000021" w:history="1">
        <w:r>
          <w:rPr>
            <w:rStyle w:val="Hyperlink"/>
          </w:rPr>
          <w:t>2.5.1</w:t>
        </w:r>
        <w:r>
          <w:rPr>
            <w:rStyle w:val="Hyperlink"/>
          </w:rPr>
          <w:t xml:space="preserve"> </w:t>
        </w:r>
        <w:r>
          <w:rPr>
            <w:rStyle w:val="Hyperlink"/>
          </w:rPr>
          <w:t>Autorisierung auf Basis von Policy Entscheidungen</w:t>
        </w:r>
        <w:r>
          <w:tab/>
        </w:r>
        <w:r>
          <w:fldChar w:fldCharType="begin"/>
        </w:r>
        <w:r>
          <w:instrText xml:space="preserve"> PAGEREF _Toc256000021 \h </w:instrText>
        </w:r>
        <w:r>
          <w:fldChar w:fldCharType="separate"/>
        </w:r>
        <w:r>
          <w:t>10</w:t>
        </w:r>
        <w:r>
          <w:fldChar w:fldCharType="end"/>
        </w:r>
      </w:hyperlink>
    </w:p>
    <w:p>
      <w:pPr>
        <w:pStyle w:val="TOC3"/>
        <w:tabs>
          <w:tab w:val="right" w:leader="dot" w:pos="9060"/>
        </w:tabs>
        <w:rPr>
          <w:rFonts w:asciiTheme="minorHAnsi" w:hAnsiTheme="minorHAnsi"/>
          <w:noProof/>
          <w:sz w:val="22"/>
        </w:rPr>
      </w:pPr>
      <w:hyperlink w:anchor="_Toc256000022" w:history="1">
        <w:r>
          <w:rPr>
            <w:rStyle w:val="Hyperlink"/>
          </w:rPr>
          <w:t>2.5.2</w:t>
        </w:r>
        <w:r>
          <w:rPr>
            <w:rStyle w:val="Hyperlink"/>
          </w:rPr>
          <w:t xml:space="preserve"> </w:t>
        </w:r>
        <w:r>
          <w:rPr>
            <w:rStyle w:val="Hyperlink"/>
          </w:rPr>
          <w:t>Client Authentication</w:t>
        </w:r>
        <w:r>
          <w:tab/>
        </w:r>
        <w:r>
          <w:fldChar w:fldCharType="begin"/>
        </w:r>
        <w:r>
          <w:instrText xml:space="preserve"> PAGEREF _Toc256000022 \h </w:instrText>
        </w:r>
        <w:r>
          <w:fldChar w:fldCharType="separate"/>
        </w:r>
        <w:r>
          <w:t>10</w:t>
        </w:r>
        <w:r>
          <w:fldChar w:fldCharType="end"/>
        </w:r>
      </w:hyperlink>
    </w:p>
    <w:p>
      <w:pPr>
        <w:pStyle w:val="TOC1"/>
        <w:tabs>
          <w:tab w:val="right" w:leader="dot" w:pos="9060"/>
        </w:tabs>
        <w:rPr>
          <w:rFonts w:asciiTheme="minorHAnsi" w:hAnsiTheme="minorHAnsi"/>
          <w:noProof/>
          <w:sz w:val="22"/>
        </w:rPr>
      </w:pPr>
      <w:hyperlink w:anchor="_Toc256000023" w:history="1">
        <w:r>
          <w:rPr>
            <w:rStyle w:val="Hyperlink"/>
          </w:rPr>
          <w:t>3</w:t>
        </w:r>
        <w:r>
          <w:rPr>
            <w:rStyle w:val="Hyperlink"/>
          </w:rPr>
          <w:t xml:space="preserve"> </w:t>
        </w:r>
        <w:r>
          <w:rPr>
            <w:rStyle w:val="Hyperlink"/>
          </w:rPr>
          <w:t>Einordnung in die TI 2.0</w:t>
        </w:r>
        <w:r>
          <w:tab/>
        </w:r>
        <w:r>
          <w:fldChar w:fldCharType="begin"/>
        </w:r>
        <w:r>
          <w:instrText xml:space="preserve"> PAGEREF _Toc256000023 \h </w:instrText>
        </w:r>
        <w:r>
          <w:fldChar w:fldCharType="separate"/>
        </w:r>
        <w:r>
          <w:t>11</w:t>
        </w:r>
        <w:r>
          <w:fldChar w:fldCharType="end"/>
        </w:r>
      </w:hyperlink>
    </w:p>
    <w:p>
      <w:pPr>
        <w:pStyle w:val="TOC1"/>
        <w:tabs>
          <w:tab w:val="right" w:leader="dot" w:pos="9060"/>
        </w:tabs>
        <w:rPr>
          <w:rFonts w:asciiTheme="minorHAnsi" w:hAnsiTheme="minorHAnsi"/>
          <w:noProof/>
          <w:sz w:val="22"/>
        </w:rPr>
      </w:pPr>
      <w:hyperlink w:anchor="_Toc256000024" w:history="1">
        <w:r>
          <w:rPr>
            <w:rStyle w:val="Hyperlink"/>
          </w:rPr>
          <w:t>4</w:t>
        </w:r>
        <w:r>
          <w:rPr>
            <w:rStyle w:val="Hyperlink"/>
          </w:rPr>
          <w:t xml:space="preserve"> </w:t>
        </w:r>
        <w:r>
          <w:rPr>
            <w:rStyle w:val="Hyperlink"/>
          </w:rPr>
          <w:t>Technisches Konzept</w:t>
        </w:r>
        <w:r>
          <w:tab/>
        </w:r>
        <w:r>
          <w:fldChar w:fldCharType="begin"/>
        </w:r>
        <w:r>
          <w:instrText xml:space="preserve"> PAGEREF _Toc256000024 \h </w:instrText>
        </w:r>
        <w:r>
          <w:fldChar w:fldCharType="separate"/>
        </w:r>
        <w:r>
          <w:t>14</w:t>
        </w:r>
        <w:r>
          <w:fldChar w:fldCharType="end"/>
        </w:r>
      </w:hyperlink>
    </w:p>
    <w:p>
      <w:pPr>
        <w:pStyle w:val="TOC2"/>
        <w:tabs>
          <w:tab w:val="right" w:leader="dot" w:pos="9060"/>
        </w:tabs>
        <w:rPr>
          <w:rFonts w:asciiTheme="minorHAnsi" w:hAnsiTheme="minorHAnsi"/>
          <w:noProof/>
          <w:sz w:val="22"/>
        </w:rPr>
      </w:pPr>
      <w:hyperlink w:anchor="_Toc256000025" w:history="1">
        <w:r>
          <w:rPr>
            <w:rStyle w:val="Hyperlink"/>
          </w:rPr>
          <w:t>4.1</w:t>
        </w:r>
        <w:r>
          <w:rPr>
            <w:rStyle w:val="Hyperlink"/>
          </w:rPr>
          <w:t xml:space="preserve"> </w:t>
        </w:r>
        <w:r>
          <w:rPr>
            <w:rStyle w:val="Hyperlink"/>
          </w:rPr>
          <w:t>Zero Trust Cluster</w:t>
        </w:r>
        <w:r>
          <w:tab/>
        </w:r>
        <w:r>
          <w:fldChar w:fldCharType="begin"/>
        </w:r>
        <w:r>
          <w:instrText xml:space="preserve"> PAGEREF _Toc256000025 \h </w:instrText>
        </w:r>
        <w:r>
          <w:fldChar w:fldCharType="separate"/>
        </w:r>
        <w:r>
          <w:t>14</w:t>
        </w:r>
        <w:r>
          <w:fldChar w:fldCharType="end"/>
        </w:r>
      </w:hyperlink>
    </w:p>
    <w:p>
      <w:pPr>
        <w:pStyle w:val="TOC2"/>
        <w:tabs>
          <w:tab w:val="right" w:leader="dot" w:pos="9060"/>
        </w:tabs>
        <w:rPr>
          <w:rFonts w:asciiTheme="minorHAnsi" w:hAnsiTheme="minorHAnsi"/>
          <w:noProof/>
          <w:sz w:val="22"/>
        </w:rPr>
      </w:pPr>
      <w:hyperlink w:anchor="_Toc256000026" w:history="1">
        <w:r>
          <w:rPr>
            <w:rStyle w:val="Hyperlink"/>
          </w:rPr>
          <w:t>4.2</w:t>
        </w:r>
        <w:r>
          <w:rPr>
            <w:rStyle w:val="Hyperlink"/>
          </w:rPr>
          <w:t xml:space="preserve"> </w:t>
        </w:r>
        <w:r>
          <w:rPr>
            <w:rStyle w:val="Hyperlink"/>
          </w:rPr>
          <w:t>Policy Enforcement Point (PEP)</w:t>
        </w:r>
        <w:r>
          <w:tab/>
        </w:r>
        <w:r>
          <w:fldChar w:fldCharType="begin"/>
        </w:r>
        <w:r>
          <w:instrText xml:space="preserve"> PAGEREF _Toc256000026 \h </w:instrText>
        </w:r>
        <w:r>
          <w:fldChar w:fldCharType="separate"/>
        </w:r>
        <w:r>
          <w:t>14</w:t>
        </w:r>
        <w:r>
          <w:fldChar w:fldCharType="end"/>
        </w:r>
      </w:hyperlink>
    </w:p>
    <w:p>
      <w:pPr>
        <w:pStyle w:val="TOC2"/>
        <w:tabs>
          <w:tab w:val="right" w:leader="dot" w:pos="9060"/>
        </w:tabs>
        <w:rPr>
          <w:rFonts w:asciiTheme="minorHAnsi" w:hAnsiTheme="minorHAnsi"/>
          <w:noProof/>
          <w:sz w:val="22"/>
        </w:rPr>
      </w:pPr>
      <w:hyperlink w:anchor="_Toc256000027" w:history="1">
        <w:r>
          <w:rPr>
            <w:rStyle w:val="Hyperlink"/>
          </w:rPr>
          <w:t>4.3</w:t>
        </w:r>
        <w:r>
          <w:rPr>
            <w:rStyle w:val="Hyperlink"/>
          </w:rPr>
          <w:t xml:space="preserve"> </w:t>
        </w:r>
        <w:r>
          <w:rPr>
            <w:rStyle w:val="Hyperlink"/>
          </w:rPr>
          <w:t>Policy Decision Point (PDP)</w:t>
        </w:r>
        <w:r>
          <w:tab/>
        </w:r>
        <w:r>
          <w:fldChar w:fldCharType="begin"/>
        </w:r>
        <w:r>
          <w:instrText xml:space="preserve"> PAGEREF _Toc256000027 \h </w:instrText>
        </w:r>
        <w:r>
          <w:fldChar w:fldCharType="separate"/>
        </w:r>
        <w:r>
          <w:t>15</w:t>
        </w:r>
        <w:r>
          <w:fldChar w:fldCharType="end"/>
        </w:r>
      </w:hyperlink>
    </w:p>
    <w:p>
      <w:pPr>
        <w:pStyle w:val="TOC2"/>
        <w:tabs>
          <w:tab w:val="right" w:leader="dot" w:pos="9060"/>
        </w:tabs>
        <w:rPr>
          <w:rFonts w:asciiTheme="minorHAnsi" w:hAnsiTheme="minorHAnsi"/>
          <w:noProof/>
          <w:sz w:val="22"/>
        </w:rPr>
      </w:pPr>
      <w:hyperlink w:anchor="_Toc256000028" w:history="1">
        <w:r>
          <w:rPr>
            <w:rStyle w:val="Hyperlink"/>
          </w:rPr>
          <w:t>4.4</w:t>
        </w:r>
        <w:r>
          <w:rPr>
            <w:rStyle w:val="Hyperlink"/>
          </w:rPr>
          <w:t xml:space="preserve"> </w:t>
        </w:r>
        <w:r>
          <w:rPr>
            <w:rStyle w:val="Hyperlink"/>
          </w:rPr>
          <w:t>Trust Client</w:t>
        </w:r>
        <w:r>
          <w:tab/>
        </w:r>
        <w:r>
          <w:fldChar w:fldCharType="begin"/>
        </w:r>
        <w:r>
          <w:instrText xml:space="preserve"> PAGEREF _Toc256000028 \h </w:instrText>
        </w:r>
        <w:r>
          <w:fldChar w:fldCharType="separate"/>
        </w:r>
        <w:r>
          <w:t>16</w:t>
        </w:r>
        <w:r>
          <w:fldChar w:fldCharType="end"/>
        </w:r>
      </w:hyperlink>
    </w:p>
    <w:p>
      <w:pPr>
        <w:pStyle w:val="TOC2"/>
        <w:tabs>
          <w:tab w:val="right" w:leader="dot" w:pos="9060"/>
        </w:tabs>
        <w:rPr>
          <w:rFonts w:asciiTheme="minorHAnsi" w:hAnsiTheme="minorHAnsi"/>
          <w:noProof/>
          <w:sz w:val="22"/>
        </w:rPr>
      </w:pPr>
      <w:hyperlink w:anchor="_Toc256000029" w:history="1">
        <w:r>
          <w:rPr>
            <w:rStyle w:val="Hyperlink"/>
          </w:rPr>
          <w:t>4.5</w:t>
        </w:r>
        <w:r>
          <w:rPr>
            <w:rStyle w:val="Hyperlink"/>
          </w:rPr>
          <w:t xml:space="preserve"> </w:t>
        </w:r>
        <w:r>
          <w:rPr>
            <w:rStyle w:val="Hyperlink"/>
          </w:rPr>
          <w:t>Policy Information und -Administration</w:t>
        </w:r>
        <w:r>
          <w:tab/>
        </w:r>
        <w:r>
          <w:fldChar w:fldCharType="begin"/>
        </w:r>
        <w:r>
          <w:instrText xml:space="preserve"> PAGEREF _Toc256000029 \h </w:instrText>
        </w:r>
        <w:r>
          <w:fldChar w:fldCharType="separate"/>
        </w:r>
        <w:r>
          <w:t>16</w:t>
        </w:r>
        <w:r>
          <w:fldChar w:fldCharType="end"/>
        </w:r>
      </w:hyperlink>
    </w:p>
    <w:p>
      <w:pPr>
        <w:pStyle w:val="TOC3"/>
        <w:tabs>
          <w:tab w:val="right" w:leader="dot" w:pos="9060"/>
        </w:tabs>
        <w:rPr>
          <w:rFonts w:asciiTheme="minorHAnsi" w:hAnsiTheme="minorHAnsi"/>
          <w:noProof/>
          <w:sz w:val="22"/>
        </w:rPr>
      </w:pPr>
      <w:hyperlink w:anchor="_Toc256000030" w:history="1">
        <w:r>
          <w:rPr>
            <w:rStyle w:val="Hyperlink"/>
          </w:rPr>
          <w:t>4.5.1</w:t>
        </w:r>
        <w:r>
          <w:rPr>
            <w:rStyle w:val="Hyperlink"/>
          </w:rPr>
          <w:t xml:space="preserve"> </w:t>
        </w:r>
        <w:r>
          <w:rPr>
            <w:rStyle w:val="Hyperlink"/>
          </w:rPr>
          <w:t>Policy Information Point (PIP)</w:t>
        </w:r>
        <w:r>
          <w:tab/>
        </w:r>
        <w:r>
          <w:fldChar w:fldCharType="begin"/>
        </w:r>
        <w:r>
          <w:instrText xml:space="preserve"> PAGEREF _Toc256000030 \h </w:instrText>
        </w:r>
        <w:r>
          <w:fldChar w:fldCharType="separate"/>
        </w:r>
        <w:r>
          <w:t>16</w:t>
        </w:r>
        <w:r>
          <w:fldChar w:fldCharType="end"/>
        </w:r>
      </w:hyperlink>
    </w:p>
    <w:p>
      <w:pPr>
        <w:pStyle w:val="TOC3"/>
        <w:tabs>
          <w:tab w:val="right" w:leader="dot" w:pos="9060"/>
        </w:tabs>
        <w:rPr>
          <w:rFonts w:asciiTheme="minorHAnsi" w:hAnsiTheme="minorHAnsi"/>
          <w:noProof/>
          <w:sz w:val="22"/>
        </w:rPr>
      </w:pPr>
      <w:hyperlink w:anchor="_Toc256000031" w:history="1">
        <w:r>
          <w:rPr>
            <w:rStyle w:val="Hyperlink"/>
          </w:rPr>
          <w:t>4.5.2</w:t>
        </w:r>
        <w:r>
          <w:rPr>
            <w:rStyle w:val="Hyperlink"/>
          </w:rPr>
          <w:t xml:space="preserve"> </w:t>
        </w:r>
        <w:r>
          <w:rPr>
            <w:rStyle w:val="Hyperlink"/>
          </w:rPr>
          <w:t>Policy Administration Point (PAP)</w:t>
        </w:r>
        <w:r>
          <w:tab/>
        </w:r>
        <w:r>
          <w:fldChar w:fldCharType="begin"/>
        </w:r>
        <w:r>
          <w:instrText xml:space="preserve"> PAGEREF _Toc256000031 \h </w:instrText>
        </w:r>
        <w:r>
          <w:fldChar w:fldCharType="separate"/>
        </w:r>
        <w:r>
          <w:t>17</w:t>
        </w:r>
        <w:r>
          <w:fldChar w:fldCharType="end"/>
        </w:r>
      </w:hyperlink>
    </w:p>
    <w:p>
      <w:pPr>
        <w:pStyle w:val="TOC2"/>
        <w:tabs>
          <w:tab w:val="right" w:leader="dot" w:pos="9060"/>
        </w:tabs>
        <w:rPr>
          <w:rFonts w:asciiTheme="minorHAnsi" w:hAnsiTheme="minorHAnsi"/>
          <w:noProof/>
          <w:sz w:val="22"/>
        </w:rPr>
      </w:pPr>
      <w:hyperlink w:anchor="_Toc256000032" w:history="1">
        <w:r>
          <w:rPr>
            <w:rStyle w:val="Hyperlink"/>
          </w:rPr>
          <w:t>4.6</w:t>
        </w:r>
        <w:r>
          <w:rPr>
            <w:rStyle w:val="Hyperlink"/>
          </w:rPr>
          <w:t xml:space="preserve"> </w:t>
        </w:r>
        <w:r>
          <w:rPr>
            <w:rStyle w:val="Hyperlink"/>
          </w:rPr>
          <w:t>Clientregistrierung</w:t>
        </w:r>
        <w:r>
          <w:tab/>
        </w:r>
        <w:r>
          <w:fldChar w:fldCharType="begin"/>
        </w:r>
        <w:r>
          <w:instrText xml:space="preserve"> PAGEREF _Toc256000032 \h </w:instrText>
        </w:r>
        <w:r>
          <w:fldChar w:fldCharType="separate"/>
        </w:r>
        <w:r>
          <w:t>17</w:t>
        </w:r>
        <w:r>
          <w:fldChar w:fldCharType="end"/>
        </w:r>
      </w:hyperlink>
    </w:p>
    <w:p>
      <w:pPr>
        <w:pStyle w:val="TOC2"/>
        <w:tabs>
          <w:tab w:val="right" w:leader="dot" w:pos="9060"/>
        </w:tabs>
        <w:rPr>
          <w:rFonts w:asciiTheme="minorHAnsi" w:hAnsiTheme="minorHAnsi"/>
          <w:noProof/>
          <w:sz w:val="22"/>
        </w:rPr>
      </w:pPr>
      <w:hyperlink w:anchor="_Toc256000033" w:history="1">
        <w:r>
          <w:rPr>
            <w:rStyle w:val="Hyperlink"/>
          </w:rPr>
          <w:t>4.7</w:t>
        </w:r>
        <w:r>
          <w:rPr>
            <w:rStyle w:val="Hyperlink"/>
          </w:rPr>
          <w:t xml:space="preserve"> </w:t>
        </w:r>
        <w:r>
          <w:rPr>
            <w:rStyle w:val="Hyperlink"/>
          </w:rPr>
          <w:t>Monitoring</w:t>
        </w:r>
        <w:r>
          <w:tab/>
        </w:r>
        <w:r>
          <w:fldChar w:fldCharType="begin"/>
        </w:r>
        <w:r>
          <w:instrText xml:space="preserve"> PAGEREF _Toc256000033 \h </w:instrText>
        </w:r>
        <w:r>
          <w:fldChar w:fldCharType="separate"/>
        </w:r>
        <w:r>
          <w:t>20</w:t>
        </w:r>
        <w:r>
          <w:fldChar w:fldCharType="end"/>
        </w:r>
      </w:hyperlink>
    </w:p>
    <w:p>
      <w:pPr>
        <w:pStyle w:val="TOC3"/>
        <w:tabs>
          <w:tab w:val="right" w:leader="dot" w:pos="9060"/>
        </w:tabs>
        <w:rPr>
          <w:rFonts w:asciiTheme="minorHAnsi" w:hAnsiTheme="minorHAnsi"/>
          <w:noProof/>
          <w:sz w:val="22"/>
        </w:rPr>
      </w:pPr>
      <w:hyperlink w:anchor="_Toc256000034" w:history="1">
        <w:r>
          <w:rPr>
            <w:rStyle w:val="Hyperlink"/>
          </w:rPr>
          <w:t>4.7.1</w:t>
        </w:r>
        <w:r>
          <w:rPr>
            <w:rStyle w:val="Hyperlink"/>
          </w:rPr>
          <w:t xml:space="preserve"> </w:t>
        </w:r>
        <w:r>
          <w:rPr>
            <w:rStyle w:val="Hyperlink"/>
          </w:rPr>
          <w:t>Security Information and Event Management (SIEM):</w:t>
        </w:r>
        <w:r>
          <w:tab/>
        </w:r>
        <w:r>
          <w:fldChar w:fldCharType="begin"/>
        </w:r>
        <w:r>
          <w:instrText xml:space="preserve"> PAGEREF _Toc256000034 \h </w:instrText>
        </w:r>
        <w:r>
          <w:fldChar w:fldCharType="separate"/>
        </w:r>
        <w:r>
          <w:t>20</w:t>
        </w:r>
        <w:r>
          <w:fldChar w:fldCharType="end"/>
        </w:r>
      </w:hyperlink>
    </w:p>
    <w:p>
      <w:pPr>
        <w:pStyle w:val="TOC3"/>
        <w:tabs>
          <w:tab w:val="right" w:leader="dot" w:pos="9060"/>
        </w:tabs>
        <w:rPr>
          <w:rFonts w:asciiTheme="minorHAnsi" w:hAnsiTheme="minorHAnsi"/>
          <w:noProof/>
          <w:sz w:val="22"/>
        </w:rPr>
      </w:pPr>
      <w:hyperlink w:anchor="_Toc256000035" w:history="1">
        <w:r>
          <w:rPr>
            <w:rStyle w:val="Hyperlink"/>
          </w:rPr>
          <w:t>4.7.2</w:t>
        </w:r>
        <w:r>
          <w:rPr>
            <w:rStyle w:val="Hyperlink"/>
          </w:rPr>
          <w:t xml:space="preserve"> </w:t>
        </w:r>
        <w:r>
          <w:rPr>
            <w:rStyle w:val="Hyperlink"/>
          </w:rPr>
          <w:t>Shared Signals</w:t>
        </w:r>
        <w:r>
          <w:tab/>
        </w:r>
        <w:r>
          <w:fldChar w:fldCharType="begin"/>
        </w:r>
        <w:r>
          <w:instrText xml:space="preserve"> PAGEREF _Toc256000035 \h </w:instrText>
        </w:r>
        <w:r>
          <w:fldChar w:fldCharType="separate"/>
        </w:r>
        <w:r>
          <w:t>21</w:t>
        </w:r>
        <w:r>
          <w:fldChar w:fldCharType="end"/>
        </w:r>
      </w:hyperlink>
    </w:p>
    <w:p>
      <w:pPr>
        <w:pStyle w:val="TOC3"/>
        <w:tabs>
          <w:tab w:val="right" w:leader="dot" w:pos="9060"/>
        </w:tabs>
        <w:rPr>
          <w:rFonts w:asciiTheme="minorHAnsi" w:hAnsiTheme="minorHAnsi"/>
          <w:noProof/>
          <w:sz w:val="22"/>
        </w:rPr>
      </w:pPr>
      <w:hyperlink w:anchor="_Toc256000036" w:history="1">
        <w:r>
          <w:rPr>
            <w:rStyle w:val="Hyperlink"/>
          </w:rPr>
          <w:t>4.7.3</w:t>
        </w:r>
        <w:r>
          <w:rPr>
            <w:rStyle w:val="Hyperlink"/>
          </w:rPr>
          <w:t xml:space="preserve"> </w:t>
        </w:r>
        <w:r>
          <w:rPr>
            <w:rStyle w:val="Hyperlink"/>
          </w:rPr>
          <w:t>Telemetrie, Monitoring und Logging</w:t>
        </w:r>
        <w:r>
          <w:tab/>
        </w:r>
        <w:r>
          <w:fldChar w:fldCharType="begin"/>
        </w:r>
        <w:r>
          <w:instrText xml:space="preserve"> PAGEREF _Toc256000036 \h </w:instrText>
        </w:r>
        <w:r>
          <w:fldChar w:fldCharType="separate"/>
        </w:r>
        <w:r>
          <w:t>21</w:t>
        </w:r>
        <w:r>
          <w:fldChar w:fldCharType="end"/>
        </w:r>
      </w:hyperlink>
    </w:p>
    <w:p>
      <w:pPr>
        <w:pStyle w:val="TOC2"/>
        <w:tabs>
          <w:tab w:val="right" w:leader="dot" w:pos="9060"/>
        </w:tabs>
        <w:rPr>
          <w:rFonts w:asciiTheme="minorHAnsi" w:hAnsiTheme="minorHAnsi"/>
          <w:noProof/>
          <w:sz w:val="22"/>
        </w:rPr>
      </w:pPr>
      <w:hyperlink w:anchor="_Toc256000037" w:history="1">
        <w:r>
          <w:rPr>
            <w:rStyle w:val="Hyperlink"/>
          </w:rPr>
          <w:t>4.8</w:t>
        </w:r>
        <w:r>
          <w:rPr>
            <w:rStyle w:val="Hyperlink"/>
          </w:rPr>
          <w:t xml:space="preserve"> </w:t>
        </w:r>
        <w:r>
          <w:rPr>
            <w:rStyle w:val="Hyperlink"/>
          </w:rPr>
          <w:t>Zusammenspiel mit IdP</w:t>
        </w:r>
        <w:r>
          <w:tab/>
        </w:r>
        <w:r>
          <w:fldChar w:fldCharType="begin"/>
        </w:r>
        <w:r>
          <w:instrText xml:space="preserve"> PAGEREF _Toc256000037 \h </w:instrText>
        </w:r>
        <w:r>
          <w:fldChar w:fldCharType="separate"/>
        </w:r>
        <w:r>
          <w:t>21</w:t>
        </w:r>
        <w:r>
          <w:fldChar w:fldCharType="end"/>
        </w:r>
      </w:hyperlink>
    </w:p>
    <w:p>
      <w:pPr>
        <w:pStyle w:val="TOC2"/>
        <w:tabs>
          <w:tab w:val="right" w:leader="dot" w:pos="9060"/>
        </w:tabs>
        <w:rPr>
          <w:rFonts w:asciiTheme="minorHAnsi" w:hAnsiTheme="minorHAnsi"/>
          <w:noProof/>
          <w:sz w:val="22"/>
        </w:rPr>
      </w:pPr>
      <w:hyperlink w:anchor="_Toc256000038" w:history="1">
        <w:r>
          <w:rPr>
            <w:rStyle w:val="Hyperlink"/>
          </w:rPr>
          <w:t>4.9</w:t>
        </w:r>
        <w:r>
          <w:rPr>
            <w:rStyle w:val="Hyperlink"/>
          </w:rPr>
          <w:t xml:space="preserve"> </w:t>
        </w:r>
        <w:r>
          <w:rPr>
            <w:rStyle w:val="Hyperlink"/>
          </w:rPr>
          <w:t>Fachdienst-Backend</w:t>
        </w:r>
        <w:r>
          <w:tab/>
        </w:r>
        <w:r>
          <w:fldChar w:fldCharType="begin"/>
        </w:r>
        <w:r>
          <w:instrText xml:space="preserve"> PAGEREF _Toc256000038 \h </w:instrText>
        </w:r>
        <w:r>
          <w:fldChar w:fldCharType="separate"/>
        </w:r>
        <w:r>
          <w:t>22</w:t>
        </w:r>
        <w:r>
          <w:fldChar w:fldCharType="end"/>
        </w:r>
      </w:hyperlink>
    </w:p>
    <w:p>
      <w:pPr>
        <w:pStyle w:val="TOC1"/>
        <w:tabs>
          <w:tab w:val="right" w:leader="dot" w:pos="9060"/>
        </w:tabs>
        <w:rPr>
          <w:rFonts w:asciiTheme="minorHAnsi" w:hAnsiTheme="minorHAnsi"/>
          <w:noProof/>
          <w:sz w:val="22"/>
        </w:rPr>
      </w:pPr>
      <w:hyperlink w:anchor="_Toc256000039" w:history="1">
        <w:r>
          <w:rPr>
            <w:rStyle w:val="Hyperlink"/>
          </w:rPr>
          <w:t>5</w:t>
        </w:r>
        <w:r>
          <w:rPr>
            <w:rStyle w:val="Hyperlink"/>
          </w:rPr>
          <w:t xml:space="preserve"> </w:t>
        </w:r>
        <w:r>
          <w:rPr>
            <w:rStyle w:val="Hyperlink"/>
          </w:rPr>
          <w:t>Spezifikation</w:t>
        </w:r>
        <w:r>
          <w:tab/>
        </w:r>
        <w:r>
          <w:fldChar w:fldCharType="begin"/>
        </w:r>
        <w:r>
          <w:instrText xml:space="preserve"> PAGEREF _Toc256000039 \h </w:instrText>
        </w:r>
        <w:r>
          <w:fldChar w:fldCharType="separate"/>
        </w:r>
        <w:r>
          <w:t>23</w:t>
        </w:r>
        <w:r>
          <w:fldChar w:fldCharType="end"/>
        </w:r>
      </w:hyperlink>
    </w:p>
    <w:p>
      <w:pPr>
        <w:pStyle w:val="TOC2"/>
        <w:tabs>
          <w:tab w:val="right" w:leader="dot" w:pos="9060"/>
        </w:tabs>
        <w:rPr>
          <w:rFonts w:asciiTheme="minorHAnsi" w:hAnsiTheme="minorHAnsi"/>
          <w:noProof/>
          <w:sz w:val="22"/>
        </w:rPr>
      </w:pPr>
      <w:hyperlink w:anchor="_Toc256000040" w:history="1">
        <w:r>
          <w:rPr>
            <w:rStyle w:val="Hyperlink"/>
          </w:rPr>
          <w:t>5.1</w:t>
        </w:r>
        <w:r>
          <w:rPr>
            <w:rStyle w:val="Hyperlink"/>
          </w:rPr>
          <w:t xml:space="preserve"> </w:t>
        </w:r>
        <w:r>
          <w:rPr>
            <w:rStyle w:val="Hyperlink"/>
          </w:rPr>
          <w:t>Übergreifende Anforderungen für Datenschutz und Sicherheit</w:t>
        </w:r>
        <w:r>
          <w:tab/>
        </w:r>
        <w:r>
          <w:fldChar w:fldCharType="begin"/>
        </w:r>
        <w:r>
          <w:instrText xml:space="preserve"> PAGEREF _Toc256000040 \h </w:instrText>
        </w:r>
        <w:r>
          <w:fldChar w:fldCharType="separate"/>
        </w:r>
        <w:r>
          <w:t>23</w:t>
        </w:r>
        <w:r>
          <w:fldChar w:fldCharType="end"/>
        </w:r>
      </w:hyperlink>
    </w:p>
    <w:p>
      <w:pPr>
        <w:pStyle w:val="TOC3"/>
        <w:tabs>
          <w:tab w:val="right" w:leader="dot" w:pos="9060"/>
        </w:tabs>
        <w:rPr>
          <w:rFonts w:asciiTheme="minorHAnsi" w:hAnsiTheme="minorHAnsi"/>
          <w:noProof/>
          <w:sz w:val="22"/>
        </w:rPr>
      </w:pPr>
      <w:hyperlink w:anchor="_Toc256000041" w:history="1">
        <w:r>
          <w:rPr>
            <w:rStyle w:val="Hyperlink"/>
          </w:rPr>
          <w:t>5.1.1</w:t>
        </w:r>
        <w:r>
          <w:rPr>
            <w:rStyle w:val="Hyperlink"/>
          </w:rPr>
          <w:t xml:space="preserve"> </w:t>
        </w:r>
        <w:r>
          <w:rPr>
            <w:rStyle w:val="Hyperlink"/>
          </w:rPr>
          <w:t>Sicherheits- und Datenschutzanforderungen an  Logging und Monitoring</w:t>
        </w:r>
        <w:r>
          <w:tab/>
        </w:r>
        <w:r>
          <w:fldChar w:fldCharType="begin"/>
        </w:r>
        <w:r>
          <w:instrText xml:space="preserve"> PAGEREF _Toc256000041 \h </w:instrText>
        </w:r>
        <w:r>
          <w:fldChar w:fldCharType="separate"/>
        </w:r>
        <w:r>
          <w:t>24</w:t>
        </w:r>
        <w:r>
          <w:fldChar w:fldCharType="end"/>
        </w:r>
      </w:hyperlink>
    </w:p>
    <w:p>
      <w:pPr>
        <w:pStyle w:val="TOC3"/>
        <w:tabs>
          <w:tab w:val="right" w:leader="dot" w:pos="9060"/>
        </w:tabs>
        <w:rPr>
          <w:rFonts w:asciiTheme="minorHAnsi" w:hAnsiTheme="minorHAnsi"/>
          <w:noProof/>
          <w:sz w:val="22"/>
        </w:rPr>
      </w:pPr>
      <w:hyperlink w:anchor="_Toc256000042" w:history="1">
        <w:r>
          <w:rPr>
            <w:rStyle w:val="Hyperlink"/>
          </w:rPr>
          <w:t>5.1.2</w:t>
        </w:r>
        <w:r>
          <w:rPr>
            <w:rStyle w:val="Hyperlink"/>
          </w:rPr>
          <w:t xml:space="preserve"> </w:t>
        </w:r>
        <w:r>
          <w:rPr>
            <w:rStyle w:val="Hyperlink"/>
          </w:rPr>
          <w:t>Sicherheits- und Datenschutz-Anforderungen an das Security Monitoring</w:t>
        </w:r>
        <w:r>
          <w:tab/>
        </w:r>
        <w:r>
          <w:fldChar w:fldCharType="begin"/>
        </w:r>
        <w:r>
          <w:instrText xml:space="preserve"> PAGEREF _Toc256000042 \h </w:instrText>
        </w:r>
        <w:r>
          <w:fldChar w:fldCharType="separate"/>
        </w:r>
        <w:r>
          <w:t>25</w:t>
        </w:r>
        <w:r>
          <w:fldChar w:fldCharType="end"/>
        </w:r>
      </w:hyperlink>
    </w:p>
    <w:p>
      <w:pPr>
        <w:pStyle w:val="TOC3"/>
        <w:tabs>
          <w:tab w:val="right" w:leader="dot" w:pos="9060"/>
        </w:tabs>
        <w:rPr>
          <w:rFonts w:asciiTheme="minorHAnsi" w:hAnsiTheme="minorHAnsi"/>
          <w:noProof/>
          <w:sz w:val="22"/>
        </w:rPr>
      </w:pPr>
      <w:hyperlink w:anchor="_Toc256000043" w:history="1">
        <w:r>
          <w:rPr>
            <w:rStyle w:val="Hyperlink"/>
          </w:rPr>
          <w:t>5.1.3</w:t>
        </w:r>
        <w:r>
          <w:rPr>
            <w:rStyle w:val="Hyperlink"/>
          </w:rPr>
          <w:t xml:space="preserve"> </w:t>
        </w:r>
        <w:r>
          <w:rPr>
            <w:rStyle w:val="Hyperlink"/>
          </w:rPr>
          <w:t>Sicherheits- und Datenschutz-Anforderungen an die Verarbeitung von Daten mit dem Schutzbedarf "sehr hoch"</w:t>
        </w:r>
        <w:r>
          <w:tab/>
        </w:r>
        <w:r>
          <w:fldChar w:fldCharType="begin"/>
        </w:r>
        <w:r>
          <w:instrText xml:space="preserve"> PAGEREF _Toc256000043 \h </w:instrText>
        </w:r>
        <w:r>
          <w:fldChar w:fldCharType="separate"/>
        </w:r>
        <w:r>
          <w:t>27</w:t>
        </w:r>
        <w:r>
          <w:fldChar w:fldCharType="end"/>
        </w:r>
      </w:hyperlink>
    </w:p>
    <w:p>
      <w:pPr>
        <w:pStyle w:val="TOC3"/>
        <w:tabs>
          <w:tab w:val="right" w:leader="dot" w:pos="9060"/>
        </w:tabs>
        <w:rPr>
          <w:rFonts w:asciiTheme="minorHAnsi" w:hAnsiTheme="minorHAnsi"/>
          <w:noProof/>
          <w:sz w:val="22"/>
        </w:rPr>
      </w:pPr>
      <w:hyperlink w:anchor="_Toc256000044" w:history="1">
        <w:r>
          <w:rPr>
            <w:rStyle w:val="Hyperlink"/>
          </w:rPr>
          <w:t>5.1.4</w:t>
        </w:r>
        <w:r>
          <w:rPr>
            <w:rStyle w:val="Hyperlink"/>
          </w:rPr>
          <w:t xml:space="preserve"> </w:t>
        </w:r>
        <w:r>
          <w:rPr>
            <w:rStyle w:val="Hyperlink"/>
          </w:rPr>
          <w:t>Sicherheits- und Datenschutz Anforderungen an dem Trust Client</w:t>
        </w:r>
        <w:r>
          <w:tab/>
        </w:r>
        <w:r>
          <w:fldChar w:fldCharType="begin"/>
        </w:r>
        <w:r>
          <w:instrText xml:space="preserve"> PAGEREF _Toc256000044 \h </w:instrText>
        </w:r>
        <w:r>
          <w:fldChar w:fldCharType="separate"/>
        </w:r>
        <w:r>
          <w:t>28</w:t>
        </w:r>
        <w:r>
          <w:fldChar w:fldCharType="end"/>
        </w:r>
      </w:hyperlink>
    </w:p>
    <w:p>
      <w:pPr>
        <w:pStyle w:val="TOC2"/>
        <w:tabs>
          <w:tab w:val="right" w:leader="dot" w:pos="9060"/>
        </w:tabs>
        <w:rPr>
          <w:rFonts w:asciiTheme="minorHAnsi" w:hAnsiTheme="minorHAnsi"/>
          <w:noProof/>
          <w:sz w:val="22"/>
        </w:rPr>
      </w:pPr>
      <w:hyperlink w:anchor="_Toc256000045" w:history="1">
        <w:r>
          <w:rPr>
            <w:rStyle w:val="Hyperlink"/>
          </w:rPr>
          <w:t>5.2</w:t>
        </w:r>
        <w:r>
          <w:rPr>
            <w:rStyle w:val="Hyperlink"/>
          </w:rPr>
          <w:t xml:space="preserve"> </w:t>
        </w:r>
        <w:r>
          <w:rPr>
            <w:rStyle w:val="Hyperlink"/>
          </w:rPr>
          <w:t>Anforderungen an Clientsysteme</w:t>
        </w:r>
        <w:r>
          <w:tab/>
        </w:r>
        <w:r>
          <w:fldChar w:fldCharType="begin"/>
        </w:r>
        <w:r>
          <w:instrText xml:space="preserve"> PAGEREF _Toc256000045 \h </w:instrText>
        </w:r>
        <w:r>
          <w:fldChar w:fldCharType="separate"/>
        </w:r>
        <w:r>
          <w:t>28</w:t>
        </w:r>
        <w:r>
          <w:fldChar w:fldCharType="end"/>
        </w:r>
      </w:hyperlink>
    </w:p>
    <w:p>
      <w:pPr>
        <w:pStyle w:val="TOC3"/>
        <w:tabs>
          <w:tab w:val="right" w:leader="dot" w:pos="9060"/>
        </w:tabs>
        <w:rPr>
          <w:rFonts w:asciiTheme="minorHAnsi" w:hAnsiTheme="minorHAnsi"/>
          <w:noProof/>
          <w:sz w:val="22"/>
        </w:rPr>
      </w:pPr>
      <w:hyperlink w:anchor="_Toc256000046" w:history="1">
        <w:r>
          <w:rPr>
            <w:rStyle w:val="Hyperlink"/>
          </w:rPr>
          <w:t>5.2.1</w:t>
        </w:r>
        <w:r>
          <w:rPr>
            <w:rStyle w:val="Hyperlink"/>
          </w:rPr>
          <w:t xml:space="preserve"> </w:t>
        </w:r>
        <w:r>
          <w:rPr>
            <w:rStyle w:val="Hyperlink"/>
          </w:rPr>
          <w:t>Hersteller und Herausgeber</w:t>
        </w:r>
        <w:r>
          <w:tab/>
        </w:r>
        <w:r>
          <w:fldChar w:fldCharType="begin"/>
        </w:r>
        <w:r>
          <w:instrText xml:space="preserve"> PAGEREF _Toc256000046 \h </w:instrText>
        </w:r>
        <w:r>
          <w:fldChar w:fldCharType="separate"/>
        </w:r>
        <w:r>
          <w:t>29</w:t>
        </w:r>
        <w:r>
          <w:fldChar w:fldCharType="end"/>
        </w:r>
      </w:hyperlink>
    </w:p>
    <w:p>
      <w:pPr>
        <w:pStyle w:val="TOC3"/>
        <w:tabs>
          <w:tab w:val="right" w:leader="dot" w:pos="9060"/>
        </w:tabs>
        <w:rPr>
          <w:rFonts w:asciiTheme="minorHAnsi" w:hAnsiTheme="minorHAnsi"/>
          <w:noProof/>
          <w:sz w:val="22"/>
        </w:rPr>
      </w:pPr>
      <w:hyperlink w:anchor="_Toc256000047" w:history="1">
        <w:r>
          <w:rPr>
            <w:rStyle w:val="Hyperlink"/>
          </w:rPr>
          <w:t>5.2.2</w:t>
        </w:r>
        <w:r>
          <w:rPr>
            <w:rStyle w:val="Hyperlink"/>
          </w:rPr>
          <w:t xml:space="preserve"> </w:t>
        </w:r>
        <w:r>
          <w:rPr>
            <w:rStyle w:val="Hyperlink"/>
          </w:rPr>
          <w:t>Verbindungsaufbau</w:t>
        </w:r>
        <w:r>
          <w:tab/>
        </w:r>
        <w:r>
          <w:fldChar w:fldCharType="begin"/>
        </w:r>
        <w:r>
          <w:instrText xml:space="preserve"> PAGEREF _Toc256000047 \h </w:instrText>
        </w:r>
        <w:r>
          <w:fldChar w:fldCharType="separate"/>
        </w:r>
        <w:r>
          <w:t>29</w:t>
        </w:r>
        <w:r>
          <w:fldChar w:fldCharType="end"/>
        </w:r>
      </w:hyperlink>
    </w:p>
    <w:p>
      <w:pPr>
        <w:pStyle w:val="TOC3"/>
        <w:tabs>
          <w:tab w:val="right" w:leader="dot" w:pos="9060"/>
        </w:tabs>
        <w:rPr>
          <w:rFonts w:asciiTheme="minorHAnsi" w:hAnsiTheme="minorHAnsi"/>
          <w:noProof/>
          <w:sz w:val="22"/>
        </w:rPr>
      </w:pPr>
      <w:hyperlink w:anchor="_Toc256000048" w:history="1">
        <w:r>
          <w:rPr>
            <w:rStyle w:val="Hyperlink"/>
          </w:rPr>
          <w:t>5.2.3</w:t>
        </w:r>
        <w:r>
          <w:rPr>
            <w:rStyle w:val="Hyperlink"/>
          </w:rPr>
          <w:t xml:space="preserve"> </w:t>
        </w:r>
        <w:r>
          <w:rPr>
            <w:rStyle w:val="Hyperlink"/>
          </w:rPr>
          <w:t>Clientregistrierung</w:t>
        </w:r>
        <w:r>
          <w:tab/>
        </w:r>
        <w:r>
          <w:fldChar w:fldCharType="begin"/>
        </w:r>
        <w:r>
          <w:instrText xml:space="preserve"> PAGEREF _Toc256000048 \h </w:instrText>
        </w:r>
        <w:r>
          <w:fldChar w:fldCharType="separate"/>
        </w:r>
        <w:r>
          <w:t>30</w:t>
        </w:r>
        <w:r>
          <w:fldChar w:fldCharType="end"/>
        </w:r>
      </w:hyperlink>
    </w:p>
    <w:p>
      <w:pPr>
        <w:pStyle w:val="TOC3"/>
        <w:tabs>
          <w:tab w:val="right" w:leader="dot" w:pos="9060"/>
        </w:tabs>
        <w:rPr>
          <w:rFonts w:asciiTheme="minorHAnsi" w:hAnsiTheme="minorHAnsi"/>
          <w:noProof/>
          <w:sz w:val="22"/>
        </w:rPr>
      </w:pPr>
      <w:hyperlink w:anchor="_Toc256000049" w:history="1">
        <w:r>
          <w:rPr>
            <w:rStyle w:val="Hyperlink"/>
          </w:rPr>
          <w:t>5.2.4</w:t>
        </w:r>
        <w:r>
          <w:rPr>
            <w:rStyle w:val="Hyperlink"/>
          </w:rPr>
          <w:t xml:space="preserve"> </w:t>
        </w:r>
        <w:r>
          <w:rPr>
            <w:rStyle w:val="Hyperlink"/>
          </w:rPr>
          <w:t>Nutzerauthentifizierung</w:t>
        </w:r>
        <w:r>
          <w:tab/>
        </w:r>
        <w:r>
          <w:fldChar w:fldCharType="begin"/>
        </w:r>
        <w:r>
          <w:instrText xml:space="preserve"> PAGEREF _Toc256000049 \h </w:instrText>
        </w:r>
        <w:r>
          <w:fldChar w:fldCharType="separate"/>
        </w:r>
        <w:r>
          <w:t>31</w:t>
        </w:r>
        <w:r>
          <w:fldChar w:fldCharType="end"/>
        </w:r>
      </w:hyperlink>
    </w:p>
    <w:p>
      <w:pPr>
        <w:pStyle w:val="TOC3"/>
        <w:tabs>
          <w:tab w:val="right" w:leader="dot" w:pos="9060"/>
        </w:tabs>
        <w:rPr>
          <w:rFonts w:asciiTheme="minorHAnsi" w:hAnsiTheme="minorHAnsi"/>
          <w:noProof/>
          <w:sz w:val="22"/>
        </w:rPr>
      </w:pPr>
      <w:hyperlink w:anchor="_Toc256000050" w:history="1">
        <w:r>
          <w:rPr>
            <w:rStyle w:val="Hyperlink"/>
          </w:rPr>
          <w:t>5.2.5</w:t>
        </w:r>
        <w:r>
          <w:rPr>
            <w:rStyle w:val="Hyperlink"/>
          </w:rPr>
          <w:t xml:space="preserve"> </w:t>
        </w:r>
        <w:r>
          <w:rPr>
            <w:rStyle w:val="Hyperlink"/>
          </w:rPr>
          <w:t>Session Management</w:t>
        </w:r>
        <w:r>
          <w:tab/>
        </w:r>
        <w:r>
          <w:fldChar w:fldCharType="begin"/>
        </w:r>
        <w:r>
          <w:instrText xml:space="preserve"> PAGEREF _Toc256000050 \h </w:instrText>
        </w:r>
        <w:r>
          <w:fldChar w:fldCharType="separate"/>
        </w:r>
        <w:r>
          <w:t>32</w:t>
        </w:r>
        <w:r>
          <w:fldChar w:fldCharType="end"/>
        </w:r>
      </w:hyperlink>
    </w:p>
    <w:p>
      <w:pPr>
        <w:pStyle w:val="TOC2"/>
        <w:tabs>
          <w:tab w:val="right" w:leader="dot" w:pos="9060"/>
        </w:tabs>
        <w:rPr>
          <w:rFonts w:asciiTheme="minorHAnsi" w:hAnsiTheme="minorHAnsi"/>
          <w:noProof/>
          <w:sz w:val="22"/>
        </w:rPr>
      </w:pPr>
      <w:hyperlink w:anchor="_Toc256000051" w:history="1">
        <w:r>
          <w:rPr>
            <w:rStyle w:val="Hyperlink"/>
          </w:rPr>
          <w:t>5.3</w:t>
        </w:r>
        <w:r>
          <w:rPr>
            <w:rStyle w:val="Hyperlink"/>
          </w:rPr>
          <w:t xml:space="preserve"> </w:t>
        </w:r>
        <w:r>
          <w:rPr>
            <w:rStyle w:val="Hyperlink"/>
          </w:rPr>
          <w:t>Zero Trust Cluster</w:t>
        </w:r>
        <w:r>
          <w:tab/>
        </w:r>
        <w:r>
          <w:fldChar w:fldCharType="begin"/>
        </w:r>
        <w:r>
          <w:instrText xml:space="preserve"> PAGEREF _Toc256000051 \h </w:instrText>
        </w:r>
        <w:r>
          <w:fldChar w:fldCharType="separate"/>
        </w:r>
        <w:r>
          <w:t>32</w:t>
        </w:r>
        <w:r>
          <w:fldChar w:fldCharType="end"/>
        </w:r>
      </w:hyperlink>
    </w:p>
    <w:p>
      <w:pPr>
        <w:pStyle w:val="TOC2"/>
        <w:tabs>
          <w:tab w:val="right" w:leader="dot" w:pos="9060"/>
        </w:tabs>
        <w:rPr>
          <w:rFonts w:asciiTheme="minorHAnsi" w:hAnsiTheme="minorHAnsi"/>
          <w:noProof/>
          <w:sz w:val="22"/>
        </w:rPr>
      </w:pPr>
      <w:hyperlink w:anchor="_Toc256000052" w:history="1">
        <w:r>
          <w:rPr>
            <w:rStyle w:val="Hyperlink"/>
          </w:rPr>
          <w:t>5.4</w:t>
        </w:r>
        <w:r>
          <w:rPr>
            <w:rStyle w:val="Hyperlink"/>
          </w:rPr>
          <w:t xml:space="preserve"> </w:t>
        </w:r>
        <w:r>
          <w:rPr>
            <w:rStyle w:val="Hyperlink"/>
          </w:rPr>
          <w:t>Anforderungen an Policy Enforcement Points</w:t>
        </w:r>
        <w:r>
          <w:tab/>
        </w:r>
        <w:r>
          <w:fldChar w:fldCharType="begin"/>
        </w:r>
        <w:r>
          <w:instrText xml:space="preserve"> PAGEREF _Toc256000052 \h </w:instrText>
        </w:r>
        <w:r>
          <w:fldChar w:fldCharType="separate"/>
        </w:r>
        <w:r>
          <w:t>33</w:t>
        </w:r>
        <w:r>
          <w:fldChar w:fldCharType="end"/>
        </w:r>
      </w:hyperlink>
    </w:p>
    <w:p>
      <w:pPr>
        <w:pStyle w:val="TOC3"/>
        <w:tabs>
          <w:tab w:val="right" w:leader="dot" w:pos="9060"/>
        </w:tabs>
        <w:rPr>
          <w:rFonts w:asciiTheme="minorHAnsi" w:hAnsiTheme="minorHAnsi"/>
          <w:noProof/>
          <w:sz w:val="22"/>
        </w:rPr>
      </w:pPr>
      <w:hyperlink w:anchor="_Toc256000053" w:history="1">
        <w:r>
          <w:rPr>
            <w:rStyle w:val="Hyperlink"/>
          </w:rPr>
          <w:t>5.4.1</w:t>
        </w:r>
        <w:r>
          <w:rPr>
            <w:rStyle w:val="Hyperlink"/>
          </w:rPr>
          <w:t xml:space="preserve"> </w:t>
        </w:r>
        <w:r>
          <w:rPr>
            <w:rStyle w:val="Hyperlink"/>
          </w:rPr>
          <w:t>PEP Client Registry</w:t>
        </w:r>
        <w:r>
          <w:tab/>
        </w:r>
        <w:r>
          <w:fldChar w:fldCharType="begin"/>
        </w:r>
        <w:r>
          <w:instrText xml:space="preserve"> PAGEREF _Toc256000053 \h </w:instrText>
        </w:r>
        <w:r>
          <w:fldChar w:fldCharType="separate"/>
        </w:r>
        <w:r>
          <w:t>33</w:t>
        </w:r>
        <w:r>
          <w:fldChar w:fldCharType="end"/>
        </w:r>
      </w:hyperlink>
    </w:p>
    <w:p>
      <w:pPr>
        <w:pStyle w:val="TOC4"/>
        <w:tabs>
          <w:tab w:val="right" w:leader="dot" w:pos="9060"/>
        </w:tabs>
        <w:rPr>
          <w:rFonts w:asciiTheme="minorHAnsi" w:hAnsiTheme="minorHAnsi"/>
          <w:noProof/>
          <w:sz w:val="22"/>
        </w:rPr>
      </w:pPr>
      <w:hyperlink w:anchor="_Toc256000054" w:history="1">
        <w:r>
          <w:rPr>
            <w:rStyle w:val="Hyperlink"/>
          </w:rPr>
          <w:t>5.4.1.1</w:t>
        </w:r>
        <w:r>
          <w:rPr>
            <w:rStyle w:val="Hyperlink"/>
          </w:rPr>
          <w:t xml:space="preserve"> </w:t>
        </w:r>
        <w:r>
          <w:rPr>
            <w:rStyle w:val="Hyperlink"/>
          </w:rPr>
          <w:t>Sicherheits- und Datenschutz-Anforderungen an dem PEP Client Registration</w:t>
        </w:r>
        <w:r>
          <w:tab/>
        </w:r>
        <w:r>
          <w:fldChar w:fldCharType="begin"/>
        </w:r>
        <w:r>
          <w:instrText xml:space="preserve"> PAGEREF _Toc256000054 \h </w:instrText>
        </w:r>
        <w:r>
          <w:fldChar w:fldCharType="separate"/>
        </w:r>
        <w:r>
          <w:t>35</w:t>
        </w:r>
        <w:r>
          <w:fldChar w:fldCharType="end"/>
        </w:r>
      </w:hyperlink>
    </w:p>
    <w:p>
      <w:pPr>
        <w:pStyle w:val="TOC3"/>
        <w:tabs>
          <w:tab w:val="right" w:leader="dot" w:pos="9060"/>
        </w:tabs>
        <w:rPr>
          <w:rFonts w:asciiTheme="minorHAnsi" w:hAnsiTheme="minorHAnsi"/>
          <w:noProof/>
          <w:sz w:val="22"/>
        </w:rPr>
      </w:pPr>
      <w:hyperlink w:anchor="_Toc256000055" w:history="1">
        <w:r>
          <w:rPr>
            <w:rStyle w:val="Hyperlink"/>
          </w:rPr>
          <w:t>5.4.2</w:t>
        </w:r>
        <w:r>
          <w:rPr>
            <w:rStyle w:val="Hyperlink"/>
          </w:rPr>
          <w:t xml:space="preserve"> </w:t>
        </w:r>
        <w:r>
          <w:rPr>
            <w:rStyle w:val="Hyperlink"/>
          </w:rPr>
          <w:t>PEP Relying Party</w:t>
        </w:r>
        <w:r>
          <w:tab/>
        </w:r>
        <w:r>
          <w:fldChar w:fldCharType="begin"/>
        </w:r>
        <w:r>
          <w:instrText xml:space="preserve"> PAGEREF _Toc256000055 \h </w:instrText>
        </w:r>
        <w:r>
          <w:fldChar w:fldCharType="separate"/>
        </w:r>
        <w:r>
          <w:t>36</w:t>
        </w:r>
        <w:r>
          <w:fldChar w:fldCharType="end"/>
        </w:r>
      </w:hyperlink>
    </w:p>
    <w:p>
      <w:pPr>
        <w:pStyle w:val="TOC3"/>
        <w:tabs>
          <w:tab w:val="right" w:leader="dot" w:pos="9060"/>
        </w:tabs>
        <w:rPr>
          <w:rFonts w:asciiTheme="minorHAnsi" w:hAnsiTheme="minorHAnsi"/>
          <w:noProof/>
          <w:sz w:val="22"/>
        </w:rPr>
      </w:pPr>
      <w:hyperlink w:anchor="_Toc256000056" w:history="1">
        <w:r>
          <w:rPr>
            <w:rStyle w:val="Hyperlink"/>
          </w:rPr>
          <w:t>5.4.3</w:t>
        </w:r>
        <w:r>
          <w:rPr>
            <w:rStyle w:val="Hyperlink"/>
          </w:rPr>
          <w:t xml:space="preserve"> </w:t>
        </w:r>
        <w:r>
          <w:rPr>
            <w:rStyle w:val="Hyperlink"/>
          </w:rPr>
          <w:t>PEP Authorization Server</w:t>
        </w:r>
        <w:r>
          <w:tab/>
        </w:r>
        <w:r>
          <w:fldChar w:fldCharType="begin"/>
        </w:r>
        <w:r>
          <w:instrText xml:space="preserve"> PAGEREF _Toc256000056 \h </w:instrText>
        </w:r>
        <w:r>
          <w:fldChar w:fldCharType="separate"/>
        </w:r>
        <w:r>
          <w:t>36</w:t>
        </w:r>
        <w:r>
          <w:fldChar w:fldCharType="end"/>
        </w:r>
      </w:hyperlink>
    </w:p>
    <w:p>
      <w:pPr>
        <w:pStyle w:val="TOC4"/>
        <w:tabs>
          <w:tab w:val="right" w:leader="dot" w:pos="9060"/>
        </w:tabs>
        <w:rPr>
          <w:rFonts w:asciiTheme="minorHAnsi" w:hAnsiTheme="minorHAnsi"/>
          <w:noProof/>
          <w:sz w:val="22"/>
        </w:rPr>
      </w:pPr>
      <w:hyperlink w:anchor="_Toc256000057" w:history="1">
        <w:r>
          <w:rPr>
            <w:rStyle w:val="Hyperlink"/>
          </w:rPr>
          <w:t>5.4.3.1</w:t>
        </w:r>
        <w:r>
          <w:rPr>
            <w:rStyle w:val="Hyperlink"/>
          </w:rPr>
          <w:t xml:space="preserve"> </w:t>
        </w:r>
        <w:r>
          <w:rPr>
            <w:rStyle w:val="Hyperlink"/>
          </w:rPr>
          <w:t>Service Discovery</w:t>
        </w:r>
        <w:r>
          <w:tab/>
        </w:r>
        <w:r>
          <w:fldChar w:fldCharType="begin"/>
        </w:r>
        <w:r>
          <w:instrText xml:space="preserve"> PAGEREF _Toc256000057 \h </w:instrText>
        </w:r>
        <w:r>
          <w:fldChar w:fldCharType="separate"/>
        </w:r>
        <w:r>
          <w:t>38</w:t>
        </w:r>
        <w:r>
          <w:fldChar w:fldCharType="end"/>
        </w:r>
      </w:hyperlink>
    </w:p>
    <w:p>
      <w:pPr>
        <w:pStyle w:val="TOC4"/>
        <w:tabs>
          <w:tab w:val="right" w:leader="dot" w:pos="9060"/>
        </w:tabs>
        <w:rPr>
          <w:rFonts w:asciiTheme="minorHAnsi" w:hAnsiTheme="minorHAnsi"/>
          <w:noProof/>
          <w:sz w:val="22"/>
        </w:rPr>
      </w:pPr>
      <w:hyperlink w:anchor="_Toc256000058" w:history="1">
        <w:r>
          <w:rPr>
            <w:rStyle w:val="Hyperlink"/>
          </w:rPr>
          <w:t>5.4.3.2</w:t>
        </w:r>
        <w:r>
          <w:rPr>
            <w:rStyle w:val="Hyperlink"/>
          </w:rPr>
          <w:t xml:space="preserve"> </w:t>
        </w:r>
        <w:r>
          <w:rPr>
            <w:rStyle w:val="Hyperlink"/>
          </w:rPr>
          <w:t>Ablauf der SM-B Authentifizierung mit DPoP</w:t>
        </w:r>
        <w:r>
          <w:tab/>
        </w:r>
        <w:r>
          <w:fldChar w:fldCharType="begin"/>
        </w:r>
        <w:r>
          <w:instrText xml:space="preserve"> PAGEREF _Toc256000058 \h </w:instrText>
        </w:r>
        <w:r>
          <w:fldChar w:fldCharType="separate"/>
        </w:r>
        <w:r>
          <w:t>39</w:t>
        </w:r>
        <w:r>
          <w:fldChar w:fldCharType="end"/>
        </w:r>
      </w:hyperlink>
    </w:p>
    <w:p>
      <w:pPr>
        <w:pStyle w:val="TOC3"/>
        <w:tabs>
          <w:tab w:val="right" w:leader="dot" w:pos="9060"/>
        </w:tabs>
        <w:rPr>
          <w:rFonts w:asciiTheme="minorHAnsi" w:hAnsiTheme="minorHAnsi"/>
          <w:noProof/>
          <w:sz w:val="22"/>
        </w:rPr>
      </w:pPr>
      <w:hyperlink w:anchor="_Toc256000059" w:history="1">
        <w:r>
          <w:rPr>
            <w:rStyle w:val="Hyperlink"/>
          </w:rPr>
          <w:t>5.4.4</w:t>
        </w:r>
        <w:r>
          <w:rPr>
            <w:rStyle w:val="Hyperlink"/>
          </w:rPr>
          <w:t xml:space="preserve"> </w:t>
        </w:r>
        <w:r>
          <w:rPr>
            <w:rStyle w:val="Hyperlink"/>
          </w:rPr>
          <w:t>PEP  http Proxy</w:t>
        </w:r>
        <w:r>
          <w:tab/>
        </w:r>
        <w:r>
          <w:fldChar w:fldCharType="begin"/>
        </w:r>
        <w:r>
          <w:instrText xml:space="preserve"> PAGEREF _Toc256000059 \h </w:instrText>
        </w:r>
        <w:r>
          <w:fldChar w:fldCharType="separate"/>
        </w:r>
        <w:r>
          <w:t>43</w:t>
        </w:r>
        <w:r>
          <w:fldChar w:fldCharType="end"/>
        </w:r>
      </w:hyperlink>
    </w:p>
    <w:p>
      <w:pPr>
        <w:pStyle w:val="TOC3"/>
        <w:tabs>
          <w:tab w:val="right" w:leader="dot" w:pos="9060"/>
        </w:tabs>
        <w:rPr>
          <w:rFonts w:asciiTheme="minorHAnsi" w:hAnsiTheme="minorHAnsi"/>
          <w:noProof/>
          <w:sz w:val="22"/>
        </w:rPr>
      </w:pPr>
      <w:hyperlink w:anchor="_Toc256000060" w:history="1">
        <w:r>
          <w:rPr>
            <w:rStyle w:val="Hyperlink"/>
          </w:rPr>
          <w:t>5.4.5</w:t>
        </w:r>
        <w:r>
          <w:rPr>
            <w:rStyle w:val="Hyperlink"/>
          </w:rPr>
          <w:t xml:space="preserve"> </w:t>
        </w:r>
        <w:r>
          <w:rPr>
            <w:rStyle w:val="Hyperlink"/>
          </w:rPr>
          <w:t>Sicherheits- und Datenschutz-Anforderungen an dem PEP</w:t>
        </w:r>
        <w:r>
          <w:tab/>
        </w:r>
        <w:r>
          <w:fldChar w:fldCharType="begin"/>
        </w:r>
        <w:r>
          <w:instrText xml:space="preserve"> PAGEREF _Toc256000060 \h </w:instrText>
        </w:r>
        <w:r>
          <w:fldChar w:fldCharType="separate"/>
        </w:r>
        <w:r>
          <w:t>44</w:t>
        </w:r>
        <w:r>
          <w:fldChar w:fldCharType="end"/>
        </w:r>
      </w:hyperlink>
    </w:p>
    <w:p>
      <w:pPr>
        <w:pStyle w:val="TOC3"/>
        <w:tabs>
          <w:tab w:val="right" w:leader="dot" w:pos="9060"/>
        </w:tabs>
        <w:rPr>
          <w:rFonts w:asciiTheme="minorHAnsi" w:hAnsiTheme="minorHAnsi"/>
          <w:noProof/>
          <w:sz w:val="22"/>
        </w:rPr>
      </w:pPr>
      <w:hyperlink w:anchor="_Toc256000061" w:history="1">
        <w:r>
          <w:rPr>
            <w:rStyle w:val="Hyperlink"/>
          </w:rPr>
          <w:t>5.4.6</w:t>
        </w:r>
        <w:r>
          <w:rPr>
            <w:rStyle w:val="Hyperlink"/>
          </w:rPr>
          <w:t xml:space="preserve"> </w:t>
        </w:r>
        <w:r>
          <w:rPr>
            <w:rStyle w:val="Hyperlink"/>
          </w:rPr>
          <w:t>Konfiguration</w:t>
        </w:r>
        <w:r>
          <w:tab/>
        </w:r>
        <w:r>
          <w:fldChar w:fldCharType="begin"/>
        </w:r>
        <w:r>
          <w:instrText xml:space="preserve"> PAGEREF _Toc256000061 \h </w:instrText>
        </w:r>
        <w:r>
          <w:fldChar w:fldCharType="separate"/>
        </w:r>
        <w:r>
          <w:t>45</w:t>
        </w:r>
        <w:r>
          <w:fldChar w:fldCharType="end"/>
        </w:r>
      </w:hyperlink>
    </w:p>
    <w:p>
      <w:pPr>
        <w:pStyle w:val="TOC2"/>
        <w:tabs>
          <w:tab w:val="right" w:leader="dot" w:pos="9060"/>
        </w:tabs>
        <w:rPr>
          <w:rFonts w:asciiTheme="minorHAnsi" w:hAnsiTheme="minorHAnsi"/>
          <w:noProof/>
          <w:sz w:val="22"/>
        </w:rPr>
      </w:pPr>
      <w:hyperlink w:anchor="_Toc256000062" w:history="1">
        <w:r>
          <w:rPr>
            <w:rStyle w:val="Hyperlink"/>
          </w:rPr>
          <w:t>5.5</w:t>
        </w:r>
        <w:r>
          <w:rPr>
            <w:rStyle w:val="Hyperlink"/>
          </w:rPr>
          <w:t xml:space="preserve"> </w:t>
        </w:r>
        <w:r>
          <w:rPr>
            <w:rStyle w:val="Hyperlink"/>
          </w:rPr>
          <w:t>Anforderungen an den Policy Decision Point</w:t>
        </w:r>
        <w:r>
          <w:tab/>
        </w:r>
        <w:r>
          <w:fldChar w:fldCharType="begin"/>
        </w:r>
        <w:r>
          <w:instrText xml:space="preserve"> PAGEREF _Toc256000062 \h </w:instrText>
        </w:r>
        <w:r>
          <w:fldChar w:fldCharType="separate"/>
        </w:r>
        <w:r>
          <w:t>45</w:t>
        </w:r>
        <w:r>
          <w:fldChar w:fldCharType="end"/>
        </w:r>
      </w:hyperlink>
    </w:p>
    <w:p>
      <w:pPr>
        <w:pStyle w:val="TOC2"/>
        <w:tabs>
          <w:tab w:val="right" w:leader="dot" w:pos="9060"/>
        </w:tabs>
        <w:rPr>
          <w:rFonts w:asciiTheme="minorHAnsi" w:hAnsiTheme="minorHAnsi"/>
          <w:noProof/>
          <w:sz w:val="22"/>
        </w:rPr>
      </w:pPr>
      <w:hyperlink w:anchor="_Toc256000063" w:history="1">
        <w:r>
          <w:rPr>
            <w:rStyle w:val="Hyperlink"/>
          </w:rPr>
          <w:t>5.6</w:t>
        </w:r>
        <w:r>
          <w:rPr>
            <w:rStyle w:val="Hyperlink"/>
          </w:rPr>
          <w:t xml:space="preserve"> </w:t>
        </w:r>
        <w:r>
          <w:rPr>
            <w:rStyle w:val="Hyperlink"/>
          </w:rPr>
          <w:t>Anforderungen an den PIP und PAP Service</w:t>
        </w:r>
        <w:r>
          <w:tab/>
        </w:r>
        <w:r>
          <w:fldChar w:fldCharType="begin"/>
        </w:r>
        <w:r>
          <w:instrText xml:space="preserve"> PAGEREF _Toc256000063 \h </w:instrText>
        </w:r>
        <w:r>
          <w:fldChar w:fldCharType="separate"/>
        </w:r>
        <w:r>
          <w:t>48</w:t>
        </w:r>
        <w:r>
          <w:fldChar w:fldCharType="end"/>
        </w:r>
      </w:hyperlink>
    </w:p>
    <w:p>
      <w:pPr>
        <w:pStyle w:val="TOC2"/>
        <w:tabs>
          <w:tab w:val="right" w:leader="dot" w:pos="9060"/>
        </w:tabs>
        <w:rPr>
          <w:rFonts w:asciiTheme="minorHAnsi" w:hAnsiTheme="minorHAnsi"/>
          <w:noProof/>
          <w:sz w:val="22"/>
        </w:rPr>
      </w:pPr>
      <w:hyperlink w:anchor="_Toc256000064" w:history="1">
        <w:r>
          <w:rPr>
            <w:rStyle w:val="Hyperlink"/>
          </w:rPr>
          <w:t>5.7</w:t>
        </w:r>
        <w:r>
          <w:rPr>
            <w:rStyle w:val="Hyperlink"/>
          </w:rPr>
          <w:t xml:space="preserve"> </w:t>
        </w:r>
        <w:r>
          <w:rPr>
            <w:rStyle w:val="Hyperlink"/>
          </w:rPr>
          <w:t>Anforderungen an den Betrieb der Zero Trust Komponenten</w:t>
        </w:r>
        <w:r>
          <w:tab/>
        </w:r>
        <w:r>
          <w:fldChar w:fldCharType="begin"/>
        </w:r>
        <w:r>
          <w:instrText xml:space="preserve"> PAGEREF _Toc256000064 \h </w:instrText>
        </w:r>
        <w:r>
          <w:fldChar w:fldCharType="separate"/>
        </w:r>
        <w:r>
          <w:t>49</w:t>
        </w:r>
        <w:r>
          <w:fldChar w:fldCharType="end"/>
        </w:r>
      </w:hyperlink>
    </w:p>
    <w:p>
      <w:pPr>
        <w:pStyle w:val="TOC3"/>
        <w:tabs>
          <w:tab w:val="right" w:leader="dot" w:pos="9060"/>
        </w:tabs>
        <w:rPr>
          <w:rFonts w:asciiTheme="minorHAnsi" w:hAnsiTheme="minorHAnsi"/>
          <w:noProof/>
          <w:sz w:val="22"/>
        </w:rPr>
      </w:pPr>
      <w:hyperlink w:anchor="_Toc256000065" w:history="1">
        <w:r>
          <w:rPr>
            <w:rStyle w:val="Hyperlink"/>
          </w:rPr>
          <w:t>5.7.1</w:t>
        </w:r>
        <w:r>
          <w:rPr>
            <w:rStyle w:val="Hyperlink"/>
          </w:rPr>
          <w:t xml:space="preserve"> </w:t>
        </w:r>
        <w:r>
          <w:rPr>
            <w:rStyle w:val="Hyperlink"/>
          </w:rPr>
          <w:t>Anforderungen für nahtlose Aktualisierungen</w:t>
        </w:r>
        <w:r>
          <w:tab/>
        </w:r>
        <w:r>
          <w:fldChar w:fldCharType="begin"/>
        </w:r>
        <w:r>
          <w:instrText xml:space="preserve"> PAGEREF _Toc256000065 \h </w:instrText>
        </w:r>
        <w:r>
          <w:fldChar w:fldCharType="separate"/>
        </w:r>
        <w:r>
          <w:t>50</w:t>
        </w:r>
        <w:r>
          <w:fldChar w:fldCharType="end"/>
        </w:r>
      </w:hyperlink>
    </w:p>
    <w:p>
      <w:pPr>
        <w:pStyle w:val="TOC3"/>
        <w:tabs>
          <w:tab w:val="right" w:leader="dot" w:pos="9060"/>
        </w:tabs>
        <w:rPr>
          <w:rFonts w:asciiTheme="minorHAnsi" w:hAnsiTheme="minorHAnsi"/>
          <w:noProof/>
          <w:sz w:val="22"/>
        </w:rPr>
      </w:pPr>
      <w:hyperlink w:anchor="_Toc256000066" w:history="1">
        <w:r>
          <w:rPr>
            <w:rStyle w:val="Hyperlink"/>
          </w:rPr>
          <w:t>5.7.2</w:t>
        </w:r>
        <w:r>
          <w:rPr>
            <w:rStyle w:val="Hyperlink"/>
          </w:rPr>
          <w:t xml:space="preserve"> </w:t>
        </w:r>
        <w:r>
          <w:rPr>
            <w:rStyle w:val="Hyperlink"/>
          </w:rPr>
          <w:t>Anforderungen für Steuerung durch Feature-Flags</w:t>
        </w:r>
        <w:r>
          <w:tab/>
        </w:r>
        <w:r>
          <w:fldChar w:fldCharType="begin"/>
        </w:r>
        <w:r>
          <w:instrText xml:space="preserve"> PAGEREF _Toc256000066 \h </w:instrText>
        </w:r>
        <w:r>
          <w:fldChar w:fldCharType="separate"/>
        </w:r>
        <w:r>
          <w:t>51</w:t>
        </w:r>
        <w:r>
          <w:fldChar w:fldCharType="end"/>
        </w:r>
      </w:hyperlink>
    </w:p>
    <w:p>
      <w:pPr>
        <w:pStyle w:val="TOC3"/>
        <w:tabs>
          <w:tab w:val="right" w:leader="dot" w:pos="9060"/>
        </w:tabs>
        <w:rPr>
          <w:rFonts w:asciiTheme="minorHAnsi" w:hAnsiTheme="minorHAnsi"/>
          <w:noProof/>
          <w:sz w:val="22"/>
        </w:rPr>
      </w:pPr>
      <w:hyperlink w:anchor="_Toc256000067" w:history="1">
        <w:r>
          <w:rPr>
            <w:rStyle w:val="Hyperlink"/>
          </w:rPr>
          <w:t>5.7.3</w:t>
        </w:r>
        <w:r>
          <w:rPr>
            <w:rStyle w:val="Hyperlink"/>
          </w:rPr>
          <w:t xml:space="preserve"> </w:t>
        </w:r>
        <w:r>
          <w:rPr>
            <w:rStyle w:val="Hyperlink"/>
          </w:rPr>
          <w:t>Anforderungen zur Überwachung des Betriebsstatus</w:t>
        </w:r>
        <w:r>
          <w:tab/>
        </w:r>
        <w:r>
          <w:fldChar w:fldCharType="begin"/>
        </w:r>
        <w:r>
          <w:instrText xml:space="preserve"> PAGEREF _Toc256000067 \h </w:instrText>
        </w:r>
        <w:r>
          <w:fldChar w:fldCharType="separate"/>
        </w:r>
        <w:r>
          <w:t>51</w:t>
        </w:r>
        <w:r>
          <w:fldChar w:fldCharType="end"/>
        </w:r>
      </w:hyperlink>
    </w:p>
    <w:p>
      <w:pPr>
        <w:pStyle w:val="TOC3"/>
        <w:tabs>
          <w:tab w:val="right" w:leader="dot" w:pos="9060"/>
        </w:tabs>
        <w:rPr>
          <w:rFonts w:asciiTheme="minorHAnsi" w:hAnsiTheme="minorHAnsi"/>
          <w:noProof/>
          <w:sz w:val="22"/>
        </w:rPr>
      </w:pPr>
      <w:hyperlink w:anchor="_Toc256000068" w:history="1">
        <w:r>
          <w:rPr>
            <w:rStyle w:val="Hyperlink"/>
          </w:rPr>
          <w:t>5.7.4</w:t>
        </w:r>
        <w:r>
          <w:rPr>
            <w:rStyle w:val="Hyperlink"/>
          </w:rPr>
          <w:t xml:space="preserve"> </w:t>
        </w:r>
        <w:r>
          <w:rPr>
            <w:rStyle w:val="Hyperlink"/>
          </w:rPr>
          <w:t>Betriebliche Schnittstellendefinition der Zero Trust-Komponenten</w:t>
        </w:r>
        <w:r>
          <w:tab/>
        </w:r>
        <w:r>
          <w:fldChar w:fldCharType="begin"/>
        </w:r>
        <w:r>
          <w:instrText xml:space="preserve"> PAGEREF _Toc256000068 \h </w:instrText>
        </w:r>
        <w:r>
          <w:fldChar w:fldCharType="separate"/>
        </w:r>
        <w:r>
          <w:t>52</w:t>
        </w:r>
        <w:r>
          <w:fldChar w:fldCharType="end"/>
        </w:r>
      </w:hyperlink>
    </w:p>
    <w:p>
      <w:pPr>
        <w:pStyle w:val="TOC2"/>
        <w:tabs>
          <w:tab w:val="right" w:leader="dot" w:pos="9060"/>
        </w:tabs>
        <w:rPr>
          <w:rFonts w:asciiTheme="minorHAnsi" w:hAnsiTheme="minorHAnsi"/>
          <w:noProof/>
          <w:sz w:val="22"/>
        </w:rPr>
      </w:pPr>
      <w:hyperlink w:anchor="_Toc256000069" w:history="1">
        <w:r>
          <w:rPr>
            <w:rStyle w:val="Hyperlink"/>
          </w:rPr>
          <w:t>5.8</w:t>
        </w:r>
        <w:r>
          <w:rPr>
            <w:rStyle w:val="Hyperlink"/>
          </w:rPr>
          <w:t xml:space="preserve"> </w:t>
        </w:r>
        <w:r>
          <w:rPr>
            <w:rStyle w:val="Hyperlink"/>
          </w:rPr>
          <w:t>Anforderungen an den Test der Zero-Trust Komponenten</w:t>
        </w:r>
        <w:r>
          <w:tab/>
        </w:r>
        <w:r>
          <w:fldChar w:fldCharType="begin"/>
        </w:r>
        <w:r>
          <w:instrText xml:space="preserve"> PAGEREF _Toc256000069 \h </w:instrText>
        </w:r>
        <w:r>
          <w:fldChar w:fldCharType="separate"/>
        </w:r>
        <w:r>
          <w:t>53</w:t>
        </w:r>
        <w:r>
          <w:fldChar w:fldCharType="end"/>
        </w:r>
      </w:hyperlink>
    </w:p>
    <w:p>
      <w:pPr>
        <w:pStyle w:val="TOC3"/>
        <w:tabs>
          <w:tab w:val="right" w:leader="dot" w:pos="9060"/>
        </w:tabs>
        <w:rPr>
          <w:rFonts w:asciiTheme="minorHAnsi" w:hAnsiTheme="minorHAnsi"/>
          <w:noProof/>
          <w:sz w:val="22"/>
        </w:rPr>
      </w:pPr>
      <w:hyperlink w:anchor="_Toc256000070" w:history="1">
        <w:r>
          <w:rPr>
            <w:rStyle w:val="Hyperlink"/>
          </w:rPr>
          <w:t>5.8.1</w:t>
        </w:r>
        <w:r>
          <w:rPr>
            <w:rStyle w:val="Hyperlink"/>
          </w:rPr>
          <w:t xml:space="preserve"> </w:t>
        </w:r>
        <w:r>
          <w:rPr>
            <w:rStyle w:val="Hyperlink"/>
          </w:rPr>
          <w:t>Testartefakte</w:t>
        </w:r>
        <w:r>
          <w:tab/>
        </w:r>
        <w:r>
          <w:fldChar w:fldCharType="begin"/>
        </w:r>
        <w:r>
          <w:instrText xml:space="preserve"> PAGEREF _Toc256000070 \h </w:instrText>
        </w:r>
        <w:r>
          <w:fldChar w:fldCharType="separate"/>
        </w:r>
        <w:r>
          <w:t>53</w:t>
        </w:r>
        <w:r>
          <w:fldChar w:fldCharType="end"/>
        </w:r>
      </w:hyperlink>
    </w:p>
    <w:p>
      <w:pPr>
        <w:pStyle w:val="TOC3"/>
        <w:tabs>
          <w:tab w:val="right" w:leader="dot" w:pos="9060"/>
        </w:tabs>
        <w:rPr>
          <w:rFonts w:asciiTheme="minorHAnsi" w:hAnsiTheme="minorHAnsi"/>
          <w:noProof/>
          <w:sz w:val="22"/>
        </w:rPr>
      </w:pPr>
      <w:hyperlink w:anchor="_Toc256000071" w:history="1">
        <w:r>
          <w:rPr>
            <w:rStyle w:val="Hyperlink"/>
          </w:rPr>
          <w:t>5.8.2</w:t>
        </w:r>
        <w:r>
          <w:rPr>
            <w:rStyle w:val="Hyperlink"/>
          </w:rPr>
          <w:t xml:space="preserve"> </w:t>
        </w:r>
        <w:r>
          <w:rPr>
            <w:rStyle w:val="Hyperlink"/>
          </w:rPr>
          <w:t>Testtreiberschnittstelle und Testunterstützung</w:t>
        </w:r>
        <w:r>
          <w:tab/>
        </w:r>
        <w:r>
          <w:fldChar w:fldCharType="begin"/>
        </w:r>
        <w:r>
          <w:instrText xml:space="preserve"> PAGEREF _Toc256000071 \h </w:instrText>
        </w:r>
        <w:r>
          <w:fldChar w:fldCharType="separate"/>
        </w:r>
        <w:r>
          <w:t>54</w:t>
        </w:r>
        <w:r>
          <w:fldChar w:fldCharType="end"/>
        </w:r>
      </w:hyperlink>
    </w:p>
    <w:p>
      <w:pPr>
        <w:pStyle w:val="TOC3"/>
        <w:tabs>
          <w:tab w:val="right" w:leader="dot" w:pos="9060"/>
        </w:tabs>
        <w:rPr>
          <w:rFonts w:asciiTheme="minorHAnsi" w:hAnsiTheme="minorHAnsi"/>
          <w:noProof/>
          <w:sz w:val="22"/>
        </w:rPr>
      </w:pPr>
      <w:hyperlink w:anchor="_Toc256000072" w:history="1">
        <w:r>
          <w:rPr>
            <w:rStyle w:val="Hyperlink"/>
          </w:rPr>
          <w:t>5.8.3</w:t>
        </w:r>
        <w:r>
          <w:rPr>
            <w:rStyle w:val="Hyperlink"/>
          </w:rPr>
          <w:t xml:space="preserve"> </w:t>
        </w:r>
        <w:r>
          <w:rPr>
            <w:rStyle w:val="Hyperlink"/>
          </w:rPr>
          <w:t>Bereitstellung der Testkomponenten und Testartefakte</w:t>
        </w:r>
        <w:r>
          <w:tab/>
        </w:r>
        <w:r>
          <w:fldChar w:fldCharType="begin"/>
        </w:r>
        <w:r>
          <w:instrText xml:space="preserve"> PAGEREF _Toc256000072 \h </w:instrText>
        </w:r>
        <w:r>
          <w:fldChar w:fldCharType="separate"/>
        </w:r>
        <w:r>
          <w:t>54</w:t>
        </w:r>
        <w:r>
          <w:fldChar w:fldCharType="end"/>
        </w:r>
      </w:hyperlink>
    </w:p>
    <w:p>
      <w:pPr>
        <w:pStyle w:val="TOC3"/>
        <w:tabs>
          <w:tab w:val="right" w:leader="dot" w:pos="9060"/>
        </w:tabs>
        <w:rPr>
          <w:rFonts w:asciiTheme="minorHAnsi" w:hAnsiTheme="minorHAnsi"/>
          <w:noProof/>
          <w:sz w:val="22"/>
        </w:rPr>
      </w:pPr>
      <w:hyperlink w:anchor="_Toc256000073" w:history="1">
        <w:r>
          <w:rPr>
            <w:rStyle w:val="Hyperlink"/>
          </w:rPr>
          <w:t>5.8.4</w:t>
        </w:r>
        <w:r>
          <w:rPr>
            <w:rStyle w:val="Hyperlink"/>
          </w:rPr>
          <w:t xml:space="preserve"> </w:t>
        </w:r>
        <w:r>
          <w:rPr>
            <w:rStyle w:val="Hyperlink"/>
          </w:rPr>
          <w:t>Testumgebungen und Quality Gates</w:t>
        </w:r>
        <w:r>
          <w:tab/>
        </w:r>
        <w:r>
          <w:fldChar w:fldCharType="begin"/>
        </w:r>
        <w:r>
          <w:instrText xml:space="preserve"> PAGEREF _Toc256000073 \h </w:instrText>
        </w:r>
        <w:r>
          <w:fldChar w:fldCharType="separate"/>
        </w:r>
        <w:r>
          <w:t>55</w:t>
        </w:r>
        <w:r>
          <w:fldChar w:fldCharType="end"/>
        </w:r>
      </w:hyperlink>
    </w:p>
    <w:p>
      <w:pPr>
        <w:pStyle w:val="TOC1"/>
        <w:tabs>
          <w:tab w:val="right" w:leader="dot" w:pos="9060"/>
        </w:tabs>
        <w:rPr>
          <w:rFonts w:asciiTheme="minorHAnsi" w:hAnsiTheme="minorHAnsi"/>
          <w:noProof/>
          <w:sz w:val="22"/>
        </w:rPr>
      </w:pPr>
      <w:hyperlink w:anchor="_Toc256000074" w:history="1">
        <w:r>
          <w:rPr>
            <w:rStyle w:val="Hyperlink"/>
          </w:rPr>
          <w:t>6</w:t>
        </w:r>
        <w:r>
          <w:rPr>
            <w:rStyle w:val="Hyperlink"/>
          </w:rPr>
          <w:t xml:space="preserve"> </w:t>
        </w:r>
        <w:r>
          <w:rPr>
            <w:rStyle w:val="Hyperlink"/>
          </w:rPr>
          <w:t>Dokumentenhaushalt</w:t>
        </w:r>
        <w:r>
          <w:tab/>
        </w:r>
        <w:r>
          <w:fldChar w:fldCharType="begin"/>
        </w:r>
        <w:r>
          <w:instrText xml:space="preserve"> PAGEREF _Toc256000074 \h </w:instrText>
        </w:r>
        <w:r>
          <w:fldChar w:fldCharType="separate"/>
        </w:r>
        <w:r>
          <w:t>56</w:t>
        </w:r>
        <w:r>
          <w:fldChar w:fldCharType="end"/>
        </w:r>
      </w:hyperlink>
    </w:p>
    <w:p>
      <w:pPr>
        <w:pStyle w:val="TOC2"/>
        <w:tabs>
          <w:tab w:val="right" w:leader="dot" w:pos="9060"/>
        </w:tabs>
        <w:rPr>
          <w:rFonts w:asciiTheme="minorHAnsi" w:hAnsiTheme="minorHAnsi"/>
          <w:noProof/>
          <w:sz w:val="22"/>
        </w:rPr>
      </w:pPr>
      <w:hyperlink w:anchor="_Toc256000075" w:history="1">
        <w:r>
          <w:rPr>
            <w:rStyle w:val="Hyperlink"/>
          </w:rPr>
          <w:t>6.1</w:t>
        </w:r>
        <w:r>
          <w:rPr>
            <w:rStyle w:val="Hyperlink"/>
          </w:rPr>
          <w:t xml:space="preserve"> </w:t>
        </w:r>
        <w:r>
          <w:rPr>
            <w:rStyle w:val="Hyperlink"/>
          </w:rPr>
          <w:t>Neue Dokumente</w:t>
        </w:r>
        <w:r>
          <w:tab/>
        </w:r>
        <w:r>
          <w:fldChar w:fldCharType="begin"/>
        </w:r>
        <w:r>
          <w:instrText xml:space="preserve"> PAGEREF _Toc256000075 \h </w:instrText>
        </w:r>
        <w:r>
          <w:fldChar w:fldCharType="separate"/>
        </w:r>
        <w:r>
          <w:t>56</w:t>
        </w:r>
        <w:r>
          <w:fldChar w:fldCharType="end"/>
        </w:r>
      </w:hyperlink>
    </w:p>
    <w:p>
      <w:pPr>
        <w:pStyle w:val="TOC2"/>
        <w:tabs>
          <w:tab w:val="right" w:leader="dot" w:pos="9060"/>
        </w:tabs>
        <w:rPr>
          <w:rFonts w:asciiTheme="minorHAnsi" w:hAnsiTheme="minorHAnsi"/>
          <w:noProof/>
          <w:sz w:val="22"/>
        </w:rPr>
      </w:pPr>
      <w:hyperlink w:anchor="_Toc256000076" w:history="1">
        <w:r>
          <w:rPr>
            <w:rStyle w:val="Hyperlink"/>
          </w:rPr>
          <w:t>6.2</w:t>
        </w:r>
        <w:r>
          <w:rPr>
            <w:rStyle w:val="Hyperlink"/>
          </w:rPr>
          <w:t xml:space="preserve"> </w:t>
        </w:r>
        <w:r>
          <w:rPr>
            <w:rStyle w:val="Hyperlink"/>
          </w:rPr>
          <w:t>Übersicht betroffener Dokumente</w:t>
        </w:r>
        <w:r>
          <w:tab/>
        </w:r>
        <w:r>
          <w:fldChar w:fldCharType="begin"/>
        </w:r>
        <w:r>
          <w:instrText xml:space="preserve"> PAGEREF _Toc256000076 \h </w:instrText>
        </w:r>
        <w:r>
          <w:fldChar w:fldCharType="separate"/>
        </w:r>
        <w:r>
          <w:t>56</w:t>
        </w:r>
        <w:r>
          <w:fldChar w:fldCharType="end"/>
        </w:r>
      </w:hyperlink>
    </w:p>
    <w:p>
      <w:pPr>
        <w:pStyle w:val="TOC2"/>
        <w:tabs>
          <w:tab w:val="right" w:leader="dot" w:pos="9060"/>
        </w:tabs>
        <w:rPr>
          <w:rFonts w:asciiTheme="minorHAnsi" w:hAnsiTheme="minorHAnsi"/>
          <w:noProof/>
          <w:sz w:val="22"/>
        </w:rPr>
      </w:pPr>
      <w:hyperlink w:anchor="_Toc256000077" w:history="1">
        <w:r>
          <w:rPr>
            <w:rStyle w:val="Hyperlink"/>
          </w:rPr>
          <w:t>6.3</w:t>
        </w:r>
        <w:r>
          <w:rPr>
            <w:rStyle w:val="Hyperlink"/>
          </w:rPr>
          <w:t xml:space="preserve"> </w:t>
        </w:r>
        <w:r>
          <w:rPr>
            <w:rStyle w:val="Hyperlink"/>
          </w:rPr>
          <w:t>Übersicht Produkt- und Anbietertypen</w:t>
        </w:r>
        <w:r>
          <w:tab/>
        </w:r>
        <w:r>
          <w:fldChar w:fldCharType="begin"/>
        </w:r>
        <w:r>
          <w:instrText xml:space="preserve"> PAGEREF _Toc256000077 \h </w:instrText>
        </w:r>
        <w:r>
          <w:fldChar w:fldCharType="separate"/>
        </w:r>
        <w:r>
          <w:t>56</w:t>
        </w:r>
        <w:r>
          <w:fldChar w:fldCharType="end"/>
        </w:r>
      </w:hyperlink>
    </w:p>
    <w:p>
      <w:pPr>
        <w:pStyle w:val="TOC1"/>
        <w:tabs>
          <w:tab w:val="right" w:leader="dot" w:pos="9060"/>
        </w:tabs>
        <w:rPr>
          <w:rFonts w:asciiTheme="minorHAnsi" w:hAnsiTheme="minorHAnsi"/>
          <w:noProof/>
          <w:sz w:val="22"/>
        </w:rPr>
      </w:pPr>
      <w:hyperlink w:anchor="_Toc256000078" w:history="1">
        <w:r>
          <w:rPr>
            <w:rStyle w:val="Hyperlink"/>
          </w:rPr>
          <w:t>7</w:t>
        </w:r>
        <w:r>
          <w:rPr>
            <w:rStyle w:val="Hyperlink"/>
          </w:rPr>
          <w:t xml:space="preserve"> </w:t>
        </w:r>
        <w:r>
          <w:rPr>
            <w:rStyle w:val="Hyperlink"/>
          </w:rPr>
          <w:t>Beispiele und Referenzimplementierungen</w:t>
        </w:r>
        <w:r>
          <w:tab/>
        </w:r>
        <w:r>
          <w:fldChar w:fldCharType="begin"/>
        </w:r>
        <w:r>
          <w:instrText xml:space="preserve"> PAGEREF _Toc256000078 \h </w:instrText>
        </w:r>
        <w:r>
          <w:fldChar w:fldCharType="separate"/>
        </w:r>
        <w:r>
          <w:t>57</w:t>
        </w:r>
        <w:r>
          <w:fldChar w:fldCharType="end"/>
        </w:r>
      </w:hyperlink>
    </w:p>
    <w:p>
      <w:pPr>
        <w:pStyle w:val="TOC1"/>
        <w:tabs>
          <w:tab w:val="right" w:leader="dot" w:pos="9060"/>
        </w:tabs>
        <w:rPr>
          <w:rFonts w:asciiTheme="minorHAnsi" w:hAnsiTheme="minorHAnsi"/>
          <w:noProof/>
          <w:sz w:val="22"/>
        </w:rPr>
      </w:pPr>
      <w:hyperlink w:anchor="_Toc256000079" w:history="1">
        <w:r>
          <w:rPr>
            <w:rStyle w:val="Hyperlink"/>
          </w:rPr>
          <w:t>8</w:t>
        </w:r>
        <w:r>
          <w:rPr>
            <w:rStyle w:val="Hyperlink"/>
          </w:rPr>
          <w:t xml:space="preserve"> </w:t>
        </w:r>
        <w:r>
          <w:rPr>
            <w:rStyle w:val="Hyperlink"/>
          </w:rPr>
          <w:t>Anhang A – Verzeichnisse</w:t>
        </w:r>
        <w:r>
          <w:tab/>
        </w:r>
        <w:r>
          <w:fldChar w:fldCharType="begin"/>
        </w:r>
        <w:r>
          <w:instrText xml:space="preserve"> PAGEREF _Toc256000079 \h </w:instrText>
        </w:r>
        <w:r>
          <w:fldChar w:fldCharType="separate"/>
        </w:r>
        <w:r>
          <w:t>58</w:t>
        </w:r>
        <w:r>
          <w:fldChar w:fldCharType="end"/>
        </w:r>
      </w:hyperlink>
    </w:p>
    <w:p>
      <w:pPr>
        <w:pStyle w:val="TOC2"/>
        <w:tabs>
          <w:tab w:val="right" w:leader="dot" w:pos="9060"/>
        </w:tabs>
        <w:rPr>
          <w:rFonts w:asciiTheme="minorHAnsi" w:hAnsiTheme="minorHAnsi"/>
          <w:noProof/>
          <w:sz w:val="22"/>
        </w:rPr>
      </w:pPr>
      <w:hyperlink w:anchor="_Toc256000080" w:history="1">
        <w:r>
          <w:rPr>
            <w:rStyle w:val="Hyperlink"/>
          </w:rPr>
          <w:t>8.1</w:t>
        </w:r>
        <w:r>
          <w:rPr>
            <w:rStyle w:val="Hyperlink"/>
          </w:rPr>
          <w:t xml:space="preserve"> </w:t>
        </w:r>
        <w:r>
          <w:rPr>
            <w:rStyle w:val="Hyperlink"/>
          </w:rPr>
          <w:t>Abkürzungen</w:t>
        </w:r>
        <w:r>
          <w:tab/>
        </w:r>
        <w:r>
          <w:fldChar w:fldCharType="begin"/>
        </w:r>
        <w:r>
          <w:instrText xml:space="preserve"> PAGEREF _Toc256000080 \h </w:instrText>
        </w:r>
        <w:r>
          <w:fldChar w:fldCharType="separate"/>
        </w:r>
        <w:r>
          <w:t>58</w:t>
        </w:r>
        <w:r>
          <w:fldChar w:fldCharType="end"/>
        </w:r>
      </w:hyperlink>
    </w:p>
    <w:p>
      <w:pPr>
        <w:pStyle w:val="TOC2"/>
        <w:tabs>
          <w:tab w:val="right" w:leader="dot" w:pos="9060"/>
        </w:tabs>
        <w:rPr>
          <w:rFonts w:asciiTheme="minorHAnsi" w:hAnsiTheme="minorHAnsi"/>
          <w:noProof/>
          <w:sz w:val="22"/>
        </w:rPr>
      </w:pPr>
      <w:hyperlink w:anchor="_Toc256000081" w:history="1">
        <w:r>
          <w:rPr>
            <w:rStyle w:val="Hyperlink"/>
          </w:rPr>
          <w:t>8.2</w:t>
        </w:r>
        <w:r>
          <w:rPr>
            <w:rStyle w:val="Hyperlink"/>
          </w:rPr>
          <w:t xml:space="preserve"> </w:t>
        </w:r>
        <w:r>
          <w:rPr>
            <w:rStyle w:val="Hyperlink"/>
          </w:rPr>
          <w:t>Abbildungsverzeichnis</w:t>
        </w:r>
        <w:r>
          <w:tab/>
        </w:r>
        <w:r>
          <w:fldChar w:fldCharType="begin"/>
        </w:r>
        <w:r>
          <w:instrText xml:space="preserve"> PAGEREF _Toc256000081 \h </w:instrText>
        </w:r>
        <w:r>
          <w:fldChar w:fldCharType="separate"/>
        </w:r>
        <w:r>
          <w:t>58</w:t>
        </w:r>
        <w:r>
          <w:fldChar w:fldCharType="end"/>
        </w:r>
      </w:hyperlink>
    </w:p>
    <w:p>
      <w:pPr>
        <w:pStyle w:val="TOC2"/>
        <w:tabs>
          <w:tab w:val="right" w:leader="dot" w:pos="9060"/>
        </w:tabs>
        <w:rPr>
          <w:rFonts w:asciiTheme="minorHAnsi" w:hAnsiTheme="minorHAnsi"/>
          <w:noProof/>
          <w:sz w:val="22"/>
        </w:rPr>
      </w:pPr>
      <w:hyperlink w:anchor="_Toc256000082" w:history="1">
        <w:r>
          <w:rPr>
            <w:rStyle w:val="Hyperlink"/>
          </w:rPr>
          <w:t>8.3</w:t>
        </w:r>
        <w:r>
          <w:rPr>
            <w:rStyle w:val="Hyperlink"/>
          </w:rPr>
          <w:t xml:space="preserve"> </w:t>
        </w:r>
        <w:r>
          <w:rPr>
            <w:rStyle w:val="Hyperlink"/>
          </w:rPr>
          <w:t>Tabellenverzeichnis</w:t>
        </w:r>
        <w:r>
          <w:tab/>
        </w:r>
        <w:r>
          <w:fldChar w:fldCharType="begin"/>
        </w:r>
        <w:r>
          <w:instrText xml:space="preserve"> PAGEREF _Toc256000082 \h </w:instrText>
        </w:r>
        <w:r>
          <w:fldChar w:fldCharType="separate"/>
        </w:r>
        <w:r>
          <w:t>59</w:t>
        </w:r>
        <w:r>
          <w:fldChar w:fldCharType="end"/>
        </w:r>
      </w:hyperlink>
    </w:p>
    <w:p>
      <w:pPr>
        <w:pStyle w:val="TOC2"/>
        <w:tabs>
          <w:tab w:val="right" w:leader="dot" w:pos="9060"/>
        </w:tabs>
        <w:rPr>
          <w:rFonts w:asciiTheme="minorHAnsi" w:hAnsiTheme="minorHAnsi"/>
          <w:noProof/>
          <w:sz w:val="22"/>
        </w:rPr>
      </w:pPr>
      <w:hyperlink w:anchor="_Toc256000083" w:history="1">
        <w:r>
          <w:rPr>
            <w:rStyle w:val="Hyperlink"/>
          </w:rPr>
          <w:t>8.4</w:t>
        </w:r>
        <w:r>
          <w:rPr>
            <w:rStyle w:val="Hyperlink"/>
          </w:rPr>
          <w:t xml:space="preserve"> </w:t>
        </w:r>
        <w:r>
          <w:rPr>
            <w:rStyle w:val="Hyperlink"/>
          </w:rPr>
          <w:t>Referenzierte Dokumente</w:t>
        </w:r>
        <w:r>
          <w:tab/>
        </w:r>
        <w:r>
          <w:fldChar w:fldCharType="begin"/>
        </w:r>
        <w:r>
          <w:instrText xml:space="preserve"> PAGEREF _Toc256000083 \h </w:instrText>
        </w:r>
        <w:r>
          <w:fldChar w:fldCharType="separate"/>
        </w:r>
        <w:r>
          <w:t>59</w:t>
        </w:r>
        <w:r>
          <w:fldChar w:fldCharType="end"/>
        </w:r>
      </w:hyperlink>
    </w:p>
    <w:p>
      <w:pPr>
        <w:pStyle w:val="TOC3"/>
        <w:tabs>
          <w:tab w:val="right" w:leader="dot" w:pos="9060"/>
        </w:tabs>
        <w:rPr>
          <w:rFonts w:asciiTheme="minorHAnsi" w:hAnsiTheme="minorHAnsi"/>
          <w:noProof/>
          <w:sz w:val="22"/>
        </w:rPr>
      </w:pPr>
      <w:hyperlink w:anchor="_Toc256000084" w:history="1">
        <w:r>
          <w:rPr>
            <w:rStyle w:val="Hyperlink"/>
          </w:rPr>
          <w:t>8.4.1</w:t>
        </w:r>
        <w:r>
          <w:rPr>
            <w:rStyle w:val="Hyperlink"/>
          </w:rPr>
          <w:t xml:space="preserve"> </w:t>
        </w:r>
        <w:r>
          <w:rPr>
            <w:rStyle w:val="Hyperlink"/>
          </w:rPr>
          <w:t>Dokumente der gematik</w:t>
        </w:r>
        <w:r>
          <w:tab/>
        </w:r>
        <w:r>
          <w:fldChar w:fldCharType="begin"/>
        </w:r>
        <w:r>
          <w:instrText xml:space="preserve"> PAGEREF _Toc256000084 \h </w:instrText>
        </w:r>
        <w:r>
          <w:fldChar w:fldCharType="separate"/>
        </w:r>
        <w:r>
          <w:t>59</w:t>
        </w:r>
        <w:r>
          <w:fldChar w:fldCharType="end"/>
        </w:r>
      </w:hyperlink>
    </w:p>
    <w:p>
      <w:pPr>
        <w:pStyle w:val="TOC3"/>
        <w:tabs>
          <w:tab w:val="right" w:leader="dot" w:pos="9060"/>
        </w:tabs>
        <w:rPr>
          <w:rFonts w:asciiTheme="minorHAnsi" w:hAnsiTheme="minorHAnsi"/>
          <w:noProof/>
          <w:sz w:val="22"/>
        </w:rPr>
      </w:pPr>
      <w:hyperlink w:anchor="_Toc256000085" w:history="1">
        <w:r>
          <w:rPr>
            <w:rStyle w:val="Hyperlink"/>
          </w:rPr>
          <w:t>8.4.2</w:t>
        </w:r>
        <w:r>
          <w:rPr>
            <w:rStyle w:val="Hyperlink"/>
          </w:rPr>
          <w:t xml:space="preserve"> </w:t>
        </w:r>
        <w:r>
          <w:rPr>
            <w:rStyle w:val="Hyperlink"/>
          </w:rPr>
          <w:t>Weitere Referenzen</w:t>
        </w:r>
        <w:r>
          <w:tab/>
        </w:r>
        <w:r>
          <w:fldChar w:fldCharType="begin"/>
        </w:r>
        <w:r>
          <w:instrText xml:space="preserve"> PAGEREF _Toc256000085 \h </w:instrText>
        </w:r>
        <w:r>
          <w:fldChar w:fldCharType="separate"/>
        </w:r>
        <w:r>
          <w:t>60</w:t>
        </w:r>
        <w:r>
          <w:fldChar w:fldCharType="end"/>
        </w:r>
      </w:hyperlink>
    </w:p>
    <w:p w:rsidR="001778B5" w:rsidRPr="00F135F8">
      <w:pPr>
        <w:rPr>
          <w:szCs w:val="20"/>
        </w:rPr>
      </w:pPr>
      <w:r w:rsidRPr="00F135F8">
        <w:rPr>
          <w:szCs w:val="20"/>
        </w:rPr>
        <w:fldChar w:fldCharType="end"/>
      </w:r>
    </w:p>
    <w:permEnd w:id="0"/>
    <w:p>
      <w:pPr>
        <w:divId w:val="28"/>
      </w:pPr>
      <w:r>
        <w:t>​​</w:t>
      </w:r>
    </w:p>
    <w:p>
      <w:pPr>
        <w:pStyle w:val="Heading1"/>
        <w:divId w:val="29"/>
      </w:pPr>
      <w:bookmarkStart w:id="1" w:name="_Toc256000000"/>
      <w:r>
        <w:t>Einordnung des Dokuments</w:t>
      </w:r>
      <w:bookmarkEnd w:id="1"/>
    </w:p>
    <w:p>
      <w:pPr>
        <w:divId w:val="30"/>
      </w:pPr>
      <w:r>
        <w:t>Dieses Dokument stellt eine übergreifende Spezifikation dar, ohne einen ersten konkreten Bezug zu einem Produkttypen oder zu Schnittstellen herzustellen. Anforderungen dieses Dokuments werden Produkttypen, Schnittstellen, Komponenten oder Diensten von konkreten Use Cases bzw. von Fachanwendungen zugewiesen.</w:t>
      </w:r>
    </w:p>
    <w:p>
      <w:pPr>
        <w:divId w:val="31"/>
      </w:pPr>
      <w:r>
        <w:t xml:space="preserve">Die in diesem Dokument beschriebenen Konzepte, Abläufe und Informationsmodelle dienen der Umsetzung der Paradigmen des Zero Trust in der "Telematikinfrastruktur 2.0". </w:t>
      </w:r>
      <w:r>
        <w:commentReference w:id="2"/>
      </w:r>
    </w:p>
    <w:p>
      <w:pPr>
        <w:divId w:val="32"/>
      </w:pPr>
      <w:r>
        <w:rPr>
          <w:color w:val="0D0D0D"/>
          <w:sz w:val="20"/>
          <w:szCs w:val="20"/>
          <w:shd w:val="clear" w:color="auto" w:fill="FFFFFF"/>
        </w:rPr>
        <w:t xml:space="preserve">Das Zero-Trust-Modell ist ein Sicherheitskonzept, das auf dem Prinzip strenger Zugriffskontrollen und dem grundsätzlichen Misstrauen (kein implizites Vertrauen) gegenüber jedem Kommunikationsteilnehmer beruht, selbst denen, die sich bereits innerhalb eines Netzwerkperimeters befinden. Es handelt sich um ein Sicherheitsrahmenwerk, das erfordert, dass alle Benutzer und deren Clients (Gerät und App), </w:t>
      </w:r>
      <w:r>
        <w:rPr>
          <w:color w:val="0D0D0D"/>
          <w:sz w:val="20"/>
          <w:szCs w:val="20"/>
          <w:shd w:val="clear" w:color="auto" w:fill="FFFFFF"/>
        </w:rPr>
        <w:t xml:space="preserve"> sowohl innerhalb als auch außerhalb der Netzwerkperimeter, authentifiziert, autorisiert und kontinuierlich auf ihre Sicherheitskonfiguration und Sicherheitsnachweise überprüft werden, bevor ihnen Zugriff auf Anwendungen und Daten gewährt oder dieser aufrechterhalten wird. Motiviert durch den</w:t>
      </w:r>
      <w:r>
        <w:t xml:space="preserve"> </w:t>
      </w:r>
      <w:r>
        <w:rPr>
          <w:color w:val="000000"/>
          <w:sz w:val="20"/>
          <w:szCs w:val="20"/>
          <w:shd w:val="clear" w:color="auto" w:fill="FFFFFF"/>
        </w:rPr>
        <w:t>„Assume Breach“-Ansatz basiert dieses Architekturdesign-Paradigma im Kern auf dem Prinzip der minimalen Rechte aller Entitäten in der Gesamtinfrastruktur.</w:t>
      </w:r>
    </w:p>
    <w:p>
      <w:pPr>
        <w:pStyle w:val="Heading2"/>
        <w:divId w:val="33"/>
      </w:pPr>
      <w:bookmarkStart w:id="3" w:name="_Toc256000001"/>
      <w:r>
        <w:t>Zielsetzung</w:t>
      </w:r>
      <w:bookmarkEnd w:id="3"/>
    </w:p>
    <w:p>
      <w:pPr>
        <w:divId w:val="34"/>
      </w:pPr>
      <w:r>
        <w:t>Ziel des Dokuments ist die Sammlung der technischen, betrieblichen und testrelevanten Anforderungen an Clients, Backendservices, Produkttypen, Komponenten und Dienste, die sich untereinander über das Internet vernetzen, im Gegensatz zur bestehenden TI als geschlossenes VPN. Dieses Pattern wird bisweilen auch als TI 2.0 bezeichnet.</w:t>
      </w:r>
    </w:p>
    <w:p>
      <w:pPr>
        <w:pStyle w:val="Heading2"/>
        <w:divId w:val="35"/>
      </w:pPr>
      <w:bookmarkStart w:id="4" w:name="_Toc256000002"/>
      <w:r>
        <w:t>Zielgruppe</w:t>
      </w:r>
      <w:bookmarkEnd w:id="4"/>
    </w:p>
    <w:p>
      <w:pPr>
        <w:divId w:val="36"/>
      </w:pPr>
      <w:r>
        <w:t>Dieses Dokument richtet sich an Architekten und Entwickler von Komponenten, Diensten, Produkttypen, Schnittstellen und Clients für den Datenaustausch im deutschen Gesundheitswesen.</w:t>
      </w:r>
    </w:p>
    <w:p>
      <w:pPr>
        <w:pStyle w:val="Heading2"/>
        <w:divId w:val="37"/>
      </w:pPr>
      <w:bookmarkStart w:id="5" w:name="_Toc256000003"/>
      <w:r>
        <w:t>Abgrenzungen</w:t>
      </w:r>
      <w:bookmarkEnd w:id="5"/>
    </w:p>
    <w:p>
      <w:pPr>
        <w:divId w:val="38"/>
      </w:pPr>
      <w:r>
        <w:t>Diesem Dokument ist kein Produkt- oder Anbietertyp zuzuordnen. Anforderungen in diesem Dokument finden Anwendung in Produkt- und Anbietertypen von konkreten Fachanwendungen bzw. Use Cases.</w:t>
      </w:r>
    </w:p>
    <w:p>
      <w:pPr>
        <w:pStyle w:val="Heading2"/>
        <w:divId w:val="39"/>
      </w:pPr>
      <w:bookmarkStart w:id="6" w:name="_Toc256000004"/>
      <w:r>
        <w:t>Methodik</w:t>
      </w:r>
      <w:bookmarkEnd w:id="6"/>
    </w:p>
    <w:p>
      <w:pPr>
        <w:pStyle w:val="Heading3"/>
        <w:divId w:val="40"/>
      </w:pPr>
      <w:bookmarkStart w:id="7" w:name="_Toc256000005"/>
      <w:r>
        <w:t>Anforderungen</w:t>
      </w:r>
      <w:bookmarkEnd w:id="7"/>
    </w:p>
    <w:p>
      <w:pPr>
        <w:divId w:val="41"/>
      </w:pPr>
      <w:r>
        <w:t>Anforderungen als Ausdruck normativer Festlegungen werden durch eine eindeutige ID sowie die dem [RFC2119] entsprechenden, in Großbuchstaben geschriebenen deutschen Schlüsselworten MUSS, DARF NICHT, SOLL, SOLL NICHT, KANN gekennzeichnet.</w:t>
      </w:r>
    </w:p>
    <w:p>
      <w:pPr>
        <w:divId w:val="42"/>
      </w:pPr>
      <w:r>
        <w:t>Da in dem Beispielsatz „Eine leere Liste DARF NICHT ein Element besitzen.“ die Phrase „DARF NICHT“ semantisch irreführend wäre (wenn nicht ein, dann vielleicht zwei?), wird in diesem Dokument stattdessen „Eine leere Liste DARF KEIN Element besitzen.“ verwendet. Die Schlüsselworte werden außerdem um Pronomen in Großbuchstaben ergänzt, wenn dies den Sprachfluss verbessert oder die Semantik verdeutlicht.</w:t>
      </w:r>
    </w:p>
    <w:p>
      <w:pPr>
        <w:divId w:val="43"/>
      </w:pPr>
      <w:r>
        <w:t>Anforderungen werden im Dokument wie folgt dargestellt:</w:t>
      </w:r>
      <w:r>
        <w:br/>
      </w:r>
      <w:r>
        <w:rPr>
          <w:b/>
        </w:rPr>
        <w:t>&lt;AFO-ID&gt; - &lt;Titel der Afo&gt;</w:t>
      </w:r>
      <w:r>
        <w:br/>
      </w:r>
      <w:r>
        <w:t>Text / Beschreibung</w:t>
      </w:r>
      <w:r>
        <w:br/>
      </w:r>
      <w:r>
        <w:t>[&lt;=]</w:t>
      </w:r>
    </w:p>
    <w:p>
      <w:pPr>
        <w:divId w:val="44"/>
      </w:pPr>
      <w:r>
        <w:t>Dabei umfasst die Anforderung sämtliche zwischen Afo-ID und Textmarke [&lt;=] angeführten Inhalte.</w:t>
      </w:r>
    </w:p>
    <w:p>
      <w:pPr>
        <w:pStyle w:val="Heading1"/>
        <w:divId w:val="45"/>
      </w:pPr>
      <w:bookmarkStart w:id="8" w:name="_Toc256000006"/>
      <w:r>
        <w:t>Features und Epics</w:t>
      </w:r>
      <w:bookmarkEnd w:id="8"/>
    </w:p>
    <w:p>
      <w:pPr>
        <w:divId w:val="46"/>
      </w:pPr>
      <w:r>
        <w:t>Der folgende Abschnitt gibt einen groben Überblick über die Features und Epics, die sich in Anwendungen wiederfinden, wenn sie nach dem Paradigma des Zero Trust umgesetzt werden. Di</w:t>
      </w:r>
      <w:r>
        <w:rPr>
          <w:sz w:val="20"/>
          <w:szCs w:val="20"/>
        </w:rPr>
        <w:t>ese Epics sind als Enabler zu verstehen, um Fachanwendungen einen sicheren Verbindungsaufbau zwischen Clientsystemen und Backenddiensten zu ermöglichen. Es werden keine User Stories formuliert, da für den Verbindungsaufbau keine Nutzerinteraktion angedacht ist.</w:t>
      </w:r>
    </w:p>
    <w:p>
      <w:pPr>
        <w:divId w:val="47"/>
      </w:pPr>
      <w:r>
        <w:rPr>
          <w:sz w:val="20"/>
          <w:szCs w:val="20"/>
        </w:rPr>
        <w:t>Im Rahmen der Nutzeridentifikation (Authentifizierung) findet eine Verifikation ausgegebener Authentisierungsmerkmale statt, deren Nutzerinteraktion als Teil der Spezifikation des Identity Managements beschrieben sind.</w:t>
      </w:r>
    </w:p>
    <w:p>
      <w:pPr>
        <w:pStyle w:val="Heading2"/>
        <w:divId w:val="48"/>
      </w:pPr>
      <w:bookmarkStart w:id="9" w:name="_Toc256000007"/>
      <w:r>
        <w:t>Clientregistrierung</w:t>
      </w:r>
      <w:bookmarkEnd w:id="9"/>
    </w:p>
    <w:p>
      <w:pPr>
        <w:divId w:val="49"/>
      </w:pPr>
      <w:r>
        <w:t>Gemäß des Zero Trust Ansatzes ist jeder Schnittstellenaufruf potentiell gefährlich, soweit nicht anders festgestellt. Dazu zählt auch das Vertrauen in bekannte bzw. Misstrauen in unbekannte Geräte bzw. Clients. Um Geräte bzw. Clients wiedererkennbar zu machen, soll eine Registrierung dieser erfolgen. Sind in der Registrierung zusätzliche Sicherheitsmerkmale über das Gerät und den Aufrufkontext feststellbar, stärken diese das Vertrauen in nachfolgenden Aufrufen fachlicher Schnittstellen.</w:t>
      </w:r>
    </w:p>
    <w:p>
      <w:pPr>
        <w:pStyle w:val="Heading3"/>
        <w:divId w:val="50"/>
      </w:pPr>
      <w:bookmarkStart w:id="10" w:name="_Toc256000008"/>
      <w:r>
        <w:t>Wiedererkennung bekannter Clients</w:t>
      </w:r>
      <w:bookmarkEnd w:id="10"/>
    </w:p>
    <w:p>
      <w:pPr>
        <w:divId w:val="51"/>
      </w:pPr>
      <w:r>
        <w:t xml:space="preserve">Die Wiedererkennung bekannter Geräte und Clients und deren Bindung an identifizierbare Nutzer des Gesundheitswesens muss </w:t>
      </w:r>
      <w:r>
        <w:commentReference w:id="11"/>
      </w:r>
      <w:r>
        <w:t xml:space="preserve"> über eine Registrierung erfolgen. Die Identifikation des Nutzers erfolgt dabei über ein unterstütztes Identifikationsmerkmal (SmartCard oder digitale Identität) und einen selbstgewählten, vom System unterstützten zweiten Faktor (E-Mail, SMS, etc.).</w:t>
      </w:r>
    </w:p>
    <w:p>
      <w:pPr>
        <w:pStyle w:val="Heading3"/>
        <w:divId w:val="52"/>
      </w:pPr>
      <w:bookmarkStart w:id="12" w:name="_Toc256000009"/>
      <w:r>
        <w:t>Device Security Rating</w:t>
      </w:r>
      <w:bookmarkEnd w:id="12"/>
    </w:p>
    <w:p>
      <w:pPr>
        <w:divId w:val="53"/>
      </w:pPr>
      <w:r>
        <w:t xml:space="preserve">Zum Einschluss bzw. Ausschluss bestimmter Eigenschaften von Geräten und Clients, sollen selbige einer automatischen Sicherheitsprüfung unterzogen werden können (DSR - Device Security Rating), soweit es die gegebenen Plattformmechanismen erlauben. </w:t>
      </w:r>
      <w:r>
        <w:commentReference w:id="13"/>
      </w:r>
      <w:r>
        <w:commentReference w:id="14"/>
      </w:r>
    </w:p>
    <w:p>
      <w:pPr>
        <w:pStyle w:val="Heading2"/>
        <w:divId w:val="54"/>
      </w:pPr>
      <w:bookmarkStart w:id="15" w:name="_Toc256000010"/>
      <w:r>
        <w:t>Policy Enforcement</w:t>
      </w:r>
      <w:bookmarkEnd w:id="15"/>
    </w:p>
    <w:p>
      <w:pPr>
        <w:divId w:val="55"/>
      </w:pPr>
      <w:r>
        <w:t>Für den Zugriff auf personenbezogene und medizinische Daten und zur Sicherstellung der Integrität, Verfügbarkeit, Vertraulichkeit und Authentizität transportierter Daten gelten Regeln. Diese fachlichen, technischen und organisatorischen Regeln gelten bei jedem Zugriff auf Daten, die über eine Schnittstelle zugreifbar gemacht werden.</w:t>
      </w:r>
    </w:p>
    <w:p>
      <w:pPr>
        <w:pStyle w:val="Heading3"/>
        <w:divId w:val="56"/>
      </w:pPr>
      <w:bookmarkStart w:id="16" w:name="_Toc256000011"/>
      <w:r>
        <w:t>Zugriffsschutz</w:t>
      </w:r>
      <w:bookmarkEnd w:id="16"/>
    </w:p>
    <w:p>
      <w:pPr>
        <w:divId w:val="57"/>
      </w:pPr>
      <w:r>
        <w:t>Das Policy Enforcement soll als eine Art Gatekeeper bzw. Türsteher den Zugriff auf Schnittstellen von Backendservices durch beliebige Clients durchsetzen. Grundlage ist das Vertrauen in eine Policy-Entscheidung durch eine Komponente zur Auswertung eines Regelwerks.</w:t>
      </w:r>
    </w:p>
    <w:p>
      <w:pPr>
        <w:pStyle w:val="Heading3"/>
        <w:divId w:val="58"/>
      </w:pPr>
      <w:bookmarkStart w:id="17" w:name="_Toc256000012"/>
      <w:r>
        <w:t>http Proxy</w:t>
      </w:r>
      <w:bookmarkEnd w:id="17"/>
    </w:p>
    <w:p>
      <w:pPr>
        <w:divId w:val="59"/>
      </w:pPr>
      <w:r>
        <w:commentReference w:id="18"/>
      </w:r>
      <w:r>
        <w:t xml:space="preserve">Nur und ausschließlich wenn ein Zugriffsversuch als legitim bewertet </w:t>
      </w:r>
      <w:r>
        <w:t xml:space="preserve"> </w:t>
      </w:r>
      <w:r>
        <w:commentReference w:id="19"/>
      </w:r>
      <w:r>
        <w:t>wird, soll dieser Zugriff gewährt werden, im Sinne des oben genannten Gatekeepers bzw. Türstehers muss dann auch ein Zugriffsversuch gewährt und an eine fachliche Schnittstelle weitergereicht werden.</w:t>
      </w:r>
    </w:p>
    <w:p>
      <w:pPr>
        <w:pStyle w:val="Heading2"/>
        <w:divId w:val="60"/>
      </w:pPr>
      <w:bookmarkStart w:id="20" w:name="_Toc256000013"/>
      <w:r>
        <w:t>Decide from Policies</w:t>
      </w:r>
      <w:bookmarkEnd w:id="20"/>
    </w:p>
    <w:p>
      <w:pPr>
        <w:divId w:val="61"/>
      </w:pPr>
      <w:r>
        <w:t xml:space="preserve">Die Menge an Regeln für die Gewähr eines Zugriffs auf Daten oder Schnittstellen </w:t>
      </w:r>
      <w:r>
        <w:commentReference w:id="21"/>
      </w:r>
      <w:r>
        <w:t xml:space="preserve"> speist sich aus gesetzlichen Forderungen bzw. Verboten, Vertragskonstrukten, Sicherheitsmechanismen, Architekturentscheidungen und Informationen aus der "Umgebung" des Betriebs von Clients und Backendservices.</w:t>
      </w:r>
    </w:p>
    <w:p>
      <w:pPr>
        <w:pStyle w:val="Heading3"/>
        <w:divId w:val="62"/>
      </w:pPr>
      <w:bookmarkStart w:id="22" w:name="_Toc256000014"/>
      <w:r>
        <w:t>Maschinenlesbare Zugriffsregeln</w:t>
      </w:r>
      <w:bookmarkEnd w:id="22"/>
    </w:p>
    <w:p>
      <w:pPr>
        <w:divId w:val="63"/>
      </w:pPr>
      <w:r>
        <w:t>Die Menge (potentiell) geltender Regeln zur Absicherung des Zugriffs auf Daten und Dienste formt ein Set von Policies. Um im Fall eines Zugriffsversuchs schnell entscheiden zu können, sollen diese Regeln maschinenlesbar definiert sein.</w:t>
      </w:r>
    </w:p>
    <w:p>
      <w:pPr>
        <w:pStyle w:val="Heading3"/>
        <w:divId w:val="64"/>
      </w:pPr>
      <w:bookmarkStart w:id="23" w:name="_Toc256000015"/>
      <w:r>
        <w:t>Ein reproduzierbares Ja/Nein/Vielleicht</w:t>
      </w:r>
      <w:bookmarkEnd w:id="23"/>
    </w:p>
    <w:p>
      <w:pPr>
        <w:divId w:val="65"/>
      </w:pPr>
      <w:r>
        <w:t>Die Auswertung eines komplexen Regelwerks liefert bei identischen Eingangsparametern reproduzierbar das identische Ergebnis.</w:t>
      </w:r>
    </w:p>
    <w:p>
      <w:pPr>
        <w:pStyle w:val="Heading3"/>
        <w:divId w:val="66"/>
      </w:pPr>
      <w:bookmarkStart w:id="24" w:name="_Toc256000016"/>
      <w:r>
        <w:t>Policies nach Betroffenheit</w:t>
      </w:r>
      <w:bookmarkEnd w:id="24"/>
    </w:p>
    <w:p>
      <w:pPr>
        <w:divId w:val="67"/>
      </w:pPr>
      <w:r>
        <w:t>Regeln beziehen sich auf verschiedene Aspekte einer Zugriffsentscheidung. Es gelten fachliche Regeln, Regeln zur Benutzung von Clients bzw. Geräten und ebenso technische Regeln sowie solche, die Betriebsumgebung von Backenddiensten betreffend.</w:t>
      </w:r>
    </w:p>
    <w:p>
      <w:pPr>
        <w:pStyle w:val="Heading2"/>
        <w:divId w:val="68"/>
      </w:pPr>
      <w:bookmarkStart w:id="25" w:name="_Toc256000017"/>
      <w:r>
        <w:t>Policy Information und Administration</w:t>
      </w:r>
      <w:bookmarkEnd w:id="25"/>
    </w:p>
    <w:p>
      <w:pPr>
        <w:divId w:val="69"/>
      </w:pPr>
      <w:r>
        <w:t>Regeln können sich ändern und Regeln beeinflussen Regeln.</w:t>
      </w:r>
    </w:p>
    <w:p>
      <w:pPr>
        <w:pStyle w:val="Heading3"/>
        <w:divId w:val="70"/>
      </w:pPr>
      <w:bookmarkStart w:id="26" w:name="_Toc256000018"/>
      <w:r>
        <w:t>Policy Verwaltung</w:t>
      </w:r>
      <w:bookmarkEnd w:id="26"/>
    </w:p>
    <w:p>
      <w:pPr>
        <w:divId w:val="71"/>
      </w:pPr>
      <w:r>
        <w:t>Eine Policyentscheidung kann Eingangsinformation für andere Policies sein, ebenso kann das Ändern von Rahmenbedingungen oder eine Anomalieerkennung zur Beeinflussung von Policies führen. Aus diesem Grund führen Beobachtungen über Policyentscheidungen zu Informationen über das Gesamtsystem, die als Eingangsdaten für nachfolgende Policyentscheidungen herangezogen werden. Daneben ist es erforderlich, Anpassungen am Regelwerk dem System über authentizitäts- und integritätsgeschützte Wege bekannt zu machen.</w:t>
      </w:r>
    </w:p>
    <w:p>
      <w:pPr>
        <w:pStyle w:val="Heading3"/>
        <w:divId w:val="72"/>
      </w:pPr>
      <w:bookmarkStart w:id="27" w:name="_Toc256000019"/>
      <w:r>
        <w:t>Monitoring</w:t>
      </w:r>
      <w:bookmarkEnd w:id="27"/>
    </w:p>
    <w:p>
      <w:pPr>
        <w:divId w:val="73"/>
      </w:pPr>
      <w:r>
        <w:t>Durch ein Monitoring von Betriebsparametern und Telemetriedaten wird die Durchsetzung von Policies sowie die Auswirkung möglicher Policyänderungen transparent.</w:t>
      </w:r>
    </w:p>
    <w:p>
      <w:pPr>
        <w:pStyle w:val="Heading2"/>
        <w:divId w:val="74"/>
      </w:pPr>
      <w:bookmarkStart w:id="28" w:name="_Toc256000020"/>
      <w:r>
        <w:t>Client Authorization</w:t>
      </w:r>
      <w:bookmarkEnd w:id="28"/>
    </w:p>
    <w:p>
      <w:pPr>
        <w:divId w:val="75"/>
      </w:pPr>
      <w:r>
        <w:t xml:space="preserve">Menschen benutzen Clients (Kombination aus Gerät und App). Jeder Zugriff auf Daten oder Schnittstellen wird auf eine menschliche Interaktion (Authentisierung) </w:t>
      </w:r>
      <w:r>
        <w:commentReference w:id="29"/>
      </w:r>
      <w:r>
        <w:t xml:space="preserve"> zurückgeführt. Nach Stand der Technik erfolgt die sichere Authentifizierung meist über 2 Faktoren. Zur Wiedererkennung und sicheren Identifikation werden Menschen und Clients Authentifizierungsmerkmale ausgestellt. Die sichere Identifikation und Authentifizierung ist eine wichtige Eingangsgröße für Zugriffsentscheidungen (s. o.).</w:t>
      </w:r>
    </w:p>
    <w:p>
      <w:pPr>
        <w:pStyle w:val="Heading3"/>
        <w:divId w:val="76"/>
      </w:pPr>
      <w:bookmarkStart w:id="30" w:name="_Toc256000021"/>
      <w:r>
        <w:t>Autorisierung auf Basis von Policy Entscheidungen</w:t>
      </w:r>
      <w:bookmarkEnd w:id="30"/>
    </w:p>
    <w:p>
      <w:pPr>
        <w:divId w:val="77"/>
      </w:pPr>
      <w:r>
        <w:t>Die Autorisierung von Zugriffen auf Daten oder Schnittstellen wird bei positiver Entscheidung durch ein Set von Policies gewährt. Die Zugriffsentscheidung und -gewähr bettet sich in eine Verkettung von Informationen und von Aufrufen verschiedener Schnittstellen ein, die dem fachlichen Aufruf einer Schnittstelle bzw. Abruf von Daten voranstehen. Stand der Technik dieses Flows mehrerer Aufrufe und der dabei transportierten Informationen ist der OAuth2-Standard, vgl. [</w:t>
      </w:r>
      <w:r>
        <w:rPr>
          <w:color w:val="212529"/>
          <w:sz w:val="20"/>
          <w:szCs w:val="20"/>
          <w:shd w:val="clear" w:color="auto" w:fill="FFFFFF"/>
        </w:rPr>
        <w:t>RFC6749 et al.</w:t>
      </w:r>
      <w:r>
        <w:rPr>
          <w:sz w:val="20"/>
          <w:szCs w:val="20"/>
        </w:rPr>
        <w:t>].</w:t>
      </w:r>
    </w:p>
    <w:p>
      <w:pPr>
        <w:pStyle w:val="Heading3"/>
        <w:divId w:val="78"/>
      </w:pPr>
      <w:bookmarkStart w:id="31" w:name="_Toc256000022"/>
      <w:r>
        <w:t>Client Authentication</w:t>
      </w:r>
      <w:bookmarkEnd w:id="31"/>
    </w:p>
    <w:p>
      <w:pPr>
        <w:divId w:val="79"/>
      </w:pPr>
      <w:r>
        <w:t>Menschen und Clients werden anhand sicherer Merkmale authentifiziert, die Identifikation ist nachrangig bzw. in nachgelagerten fachlichen Anwendungsfällen bzw. in fachlichen Zugriffsregeln relevant.</w:t>
      </w:r>
    </w:p>
    <w:p>
      <w:pPr>
        <w:divId w:val="80"/>
      </w:pPr>
      <w:r>
        <w:t xml:space="preserve">Kann ein Mensch oder Client nicht sicher authentifiziert werden </w:t>
      </w:r>
      <w:r>
        <w:rPr>
          <w:u w:val="single"/>
        </w:rPr>
        <w:t>oder</w:t>
      </w:r>
      <w:r>
        <w:t xml:space="preserve"> wird der Authentifizierung zeitlich oder anderweitig nicht vertraut </w:t>
      </w:r>
      <w:r>
        <w:rPr>
          <w:u w:val="single"/>
        </w:rPr>
        <w:t>oder</w:t>
      </w:r>
      <w:r>
        <w:t> passen die Umgebungs- bzw. die den Aufruf begleitenden Parameter nicht zum Vertrauen in die Authentifizierung, wird eine erneute Authentifizierung als erforderlich angesehen ("Step-Up-Authentication").</w:t>
      </w:r>
    </w:p>
    <w:p>
      <w:pPr>
        <w:pStyle w:val="Heading1"/>
        <w:divId w:val="81"/>
      </w:pPr>
      <w:bookmarkStart w:id="32" w:name="_Toc256000023"/>
      <w:r>
        <w:t>Einordnung in die TI 2.0</w:t>
      </w:r>
      <w:bookmarkEnd w:id="32"/>
    </w:p>
    <w:p>
      <w:pPr>
        <w:divId w:val="82"/>
      </w:pPr>
      <w:r>
        <w:t xml:space="preserve">Die TI 1.0 bildet eine </w:t>
      </w:r>
      <w:r>
        <w:t xml:space="preserve"> Infrastruktur, deren Sicherheit auf der sicheren Zugangskontrolle zu einem geschlossenen zentralen Netzwerk mit Diensten beruht. In der TI 2.0 werden die Dienste direkt im Internet angeboten und bedürfen daher einem Schutz vor unberechtigtem Zugriff pro Dienst. Dieser Schutz wird nach dem Zero Trust Paradigma durch den Policy Enforcement Point und den Policy Decision Point durchgesetzt. </w:t>
      </w:r>
      <w:r>
        <w:commentReference w:id="33"/>
      </w:r>
    </w:p>
    <w:p>
      <w:pPr>
        <w:divId w:val="83"/>
      </w:pPr>
      <w:r>
        <w:t>Diese übergreifende Spezifikation richtet Anforderungen an Akteure, die sich über das Internet miteinander vernetzen. Diese Akteure seien im Folgenden einerseits Clients (Software: Aufrufende einer Schnittstelle, Anfragende an einen Datenabruf oder -zugriff, wird auf einem bestimmten Gerät ausgeführt), häufig bedient durch einen Menschen, und Backendservices (Software: bereitstellende Schnittstelle, Datenbereitstellung etc.) auf der anderen Seite.</w:t>
      </w:r>
    </w:p>
    <w:p>
      <w:pPr>
        <w:divId w:val="84"/>
      </w:pPr>
      <w:r>
        <w:t xml:space="preserve">Zur Absicherung dieser Clients und Backendservices werden zum einen Anforderungen erhoben und wird eine Empfehlung gegeben, diese Anforderungen in konkreten Softwarekomponenten innerhalb dieser Akteure umzusetzen. Die Empfehlung zur Separierung der Zero Trust Mechanismen in unterschiedliche Komponenten folgt der Zero Trust NIST Referenzarchitektur, welche im Feinkonzept [gemKPT_Zero_Trust] vorgeschlagen und für passend befunden wurde </w:t>
      </w:r>
      <w:r>
        <w:t>.</w:t>
      </w:r>
    </w:p>
    <w:p>
      <w:pPr>
        <w:divId w:val="85"/>
        <w:keepNext/>
      </w:pPr>
      <w:r>
        <w:drawing>
          <wp:inline distT="0" distB="0" distL="0" distR="0">
            <wp:extent cx="5759450" cy="3689409"/>
            <wp:effectExtent l="0" t="0" r="0" b="0"/>
            <wp:docPr id="11" name="attachment_2-screenshot-20240223-171048.png">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ttachment_2-screenshot-20240223-171048.png"/>
                    <pic:cNvPicPr/>
                  </pic:nvPicPr>
                  <pic:blipFill>
                    <a:blip xmlns:r="http://schemas.openxmlformats.org/officeDocument/2006/relationships" r:embed="rId9"/>
                    <a:stretch>
                      <a:fillRect/>
                    </a:stretch>
                  </pic:blipFill>
                  <pic:spPr>
                    <a:xfrm>
                      <a:off x="0" y="0"/>
                      <a:ext cx="5759450" cy="3689409"/>
                    </a:xfrm>
                    <a:prstGeom prst="rect">
                      <a:avLst/>
                    </a:prstGeom>
                  </pic:spPr>
                </pic:pic>
              </a:graphicData>
            </a:graphic>
          </wp:inline>
        </w:drawing>
      </w:r>
    </w:p>
    <w:p>
      <w:pPr>
        <w:pStyle w:val="Caption"/>
        <w:jc w:val="center"/>
      </w:pPr>
      <w:bookmarkStart w:id="34" w:name="_Toc256000086"/>
      <w:r>
        <w:t xml:space="preserve">Abbildung </w:t>
      </w:r>
      <w:r>
        <w:fldChar w:fldCharType="begin"/>
      </w:r>
      <w:r>
        <w:instrText xml:space="preserve"> SEQ Abbildung \* ARABIC </w:instrText>
      </w:r>
      <w:r>
        <w:fldChar w:fldCharType="separate"/>
      </w:r>
      <w:r>
        <w:t>1</w:t>
      </w:r>
      <w:r>
        <w:fldChar w:fldCharType="end"/>
      </w:r>
      <w:r>
        <w:t>: NIST Zero Trust Referenzarchitektur</w:t>
      </w:r>
      <w:bookmarkEnd w:id="34"/>
    </w:p>
    <w:p>
      <w:pPr>
        <w:divId w:val="86"/>
      </w:pPr>
      <w:r>
        <w:t xml:space="preserve">Im Architekturkonzept der TI 1.0 werden konkrete Umgebungsannahmen zu Consumer Zonen, Secure Consumer Zonen, Plattformzonen, Personal Zonen usw. getroffen, in denen kein (Personal Zone) bzw. ein gewisses Sicherheitsniveau (überall sonst) axiomatisch angenommen wird. Das Zero Trust Konzept löst sich von der Aufteilung in verschiedene Zonen, insbesondere, da weniger (teilweise gar keine mehr) TI-Plattform-Produkttypen zwischen den Datenaustauschen unter Clients mit Backendservices involviert werden. Im Folgenden ist eine Produkttypzerlegung für die Umsetzung der NIST-Referenzarchitektur </w:t>
      </w:r>
      <w:r>
        <w:t xml:space="preserve"> einer generischen Fachanwendung </w:t>
      </w:r>
      <w:r>
        <w:t xml:space="preserve"> dargestellt.</w:t>
      </w:r>
    </w:p>
    <w:p>
      <w:pPr>
        <w:divId w:val="87"/>
      </w:pPr>
      <w:r>
        <w:t>In diesem Pattern greift ein Nutzer über ein Clientsystem auf Daten eines TI 2.0 Dienstes zu. Das folgende Bild zeigt eine Übersicht der beteiligten Komponenten in der Vernetzung zwischen einem Clientsystem (links grün) und einem Backendservice (rechts grün: Ressource Server).</w:t>
      </w:r>
    </w:p>
    <w:p>
      <w:pPr>
        <w:divId w:val="88"/>
        <w:jc w:val="center"/>
      </w:pPr>
      <w:r>
        <w:drawing>
          <wp:inline distT="0" distB="0" distL="0" distR="0">
            <wp:extent cx="5759450" cy="3429088"/>
            <wp:effectExtent l="0" t="0" r="0" b="0"/>
            <wp:docPr id="12" name="attachment_Zero-Trust_Architektur__5_.png">
              <a:hlinkClick xmlns:a="http://schemas.openxmlformats.org/drawingml/2006/main" xmlns:r="http://schemas.openxmlformats.org/officeDocument/2006/relationships"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ttachment_Zero-Trust_Architektur__5_.png"/>
                    <pic:cNvPicPr/>
                  </pic:nvPicPr>
                  <pic:blipFill>
                    <a:blip xmlns:r="http://schemas.openxmlformats.org/officeDocument/2006/relationships" r:embed="rId11"/>
                    <a:stretch>
                      <a:fillRect/>
                    </a:stretch>
                  </pic:blipFill>
                  <pic:spPr>
                    <a:xfrm>
                      <a:off x="0" y="0"/>
                      <a:ext cx="5759450" cy="3429088"/>
                    </a:xfrm>
                    <a:prstGeom prst="rect">
                      <a:avLst/>
                    </a:prstGeom>
                  </pic:spPr>
                </pic:pic>
              </a:graphicData>
            </a:graphic>
          </wp:inline>
        </w:drawing>
      </w:r>
    </w:p>
    <w:p>
      <w:pPr>
        <w:pStyle w:val="Caption"/>
        <w:jc w:val="center"/>
      </w:pPr>
      <w:bookmarkStart w:id="35" w:name="_Toc256000087"/>
      <w:r>
        <w:t xml:space="preserve">Abbildung </w:t>
      </w:r>
      <w:r>
        <w:fldChar w:fldCharType="begin"/>
      </w:r>
      <w:r>
        <w:instrText xml:space="preserve"> SEQ Abbildung \* ARABIC </w:instrText>
      </w:r>
      <w:r>
        <w:fldChar w:fldCharType="separate"/>
      </w:r>
      <w:r>
        <w:t>2</w:t>
      </w:r>
      <w:r>
        <w:fldChar w:fldCharType="end"/>
      </w:r>
      <w:r>
        <w:t xml:space="preserve"> : Zero_Trust_Architektur_der_TI_2.0</w:t>
      </w:r>
      <w:bookmarkEnd w:id="35"/>
      <w:r>
        <w:t xml:space="preserve"> </w:t>
      </w:r>
    </w:p>
    <w:p>
      <w:pPr>
        <w:divId w:val="89"/>
      </w:pPr>
      <w:r>
        <w:t xml:space="preserve">Die obige Abbildung zeigt die Einbettung von Zero Trust bezogenen, logischen Komponenten (orange) </w:t>
      </w:r>
      <w:r>
        <w:commentReference w:id="36"/>
      </w:r>
      <w:r>
        <w:t xml:space="preserve"> in die Aufrufkette zwischen einem Client und einem Ressource Server (grün). Dargestellt sind zusätzlich heute bereits vorhandene und genutzte Komponenten und Dienste, die für die Nutzerauthentifizierung (z. B. eGK und IDP) bzw. die Betriebsüberwachung (z. B. mittels Betriebsdatenerfassung - kurz BDE) in Anwendungsfällen der TI 2.0 weitergenutzt werden können (grau). In diese Abbildung sind diverse Architekturentscheidungen eingearbeitet, die im Kapitel 4 und 5 erläutert bzw. spezifiziert werden.</w:t>
      </w:r>
    </w:p>
    <w:p>
      <w:pPr>
        <w:divId w:val="90"/>
      </w:pPr>
      <w:r>
        <w:rPr>
          <w:b/>
        </w:rPr>
        <w:t>Kurzbeschreibung der Komponenten und Schnittstellen</w:t>
      </w:r>
    </w:p>
    <w:p>
      <w:pPr>
        <w:divId w:val="91"/>
      </w:pPr>
      <w:r>
        <w:t>(1) und (6): Der http Proxy erlaubt den Zugriff auf Daten des Resource Servers, wenn ein gültiges Access token im Authorization Header enthalten ist.</w:t>
      </w:r>
    </w:p>
    <w:p>
      <w:pPr>
        <w:divId w:val="92"/>
      </w:pPr>
      <w:r>
        <w:t>(2), (2.1) und (2.2): sowie optional (2.3): Um ein Access token vom Authorization Server zu erhalten, ist eine Authentifizierung des Nutzers erforderlich.</w:t>
      </w:r>
    </w:p>
    <w:p>
      <w:pPr>
        <w:divId w:val="93"/>
      </w:pPr>
      <w:r>
        <w:t>(3): Der Authorization Server stellt nur ein Access token aus, wenn der PDP seine Erlaubnis gegeben hat.</w:t>
      </w:r>
    </w:p>
    <w:p>
      <w:pPr>
        <w:divId w:val="94"/>
      </w:pPr>
      <w:r>
        <w:t>(4a) und (4b): Der Authorization Server fordert bei mobilen Apps zusätzlich zur Nutzer-Authentifizierung eine Client Registrierung mit Geräte/App-Attestierung ein, bevor ein Access token ausgestellt wird. Bei stationären Clientsystemen (z. B. Primärsystem) erfolgt die Geräteregistrierung implizit bei der SM-B Authentisierung.</w:t>
      </w:r>
    </w:p>
    <w:p>
      <w:pPr>
        <w:divId w:val="95"/>
      </w:pPr>
      <w:r>
        <w:t>(5): Die Client Registrierung erfordert eine Bestätigung des Nutzers durch einen zweiten Faktor.</w:t>
      </w:r>
    </w:p>
    <w:p>
      <w:pPr>
        <w:divId w:val="96"/>
      </w:pPr>
      <w:r>
        <w:t>(7): Die Telemetrie-Daten der Komponenten des ZT Clusters werden an das Monitoring System des Betreibers übergeben.</w:t>
      </w:r>
    </w:p>
    <w:p>
      <w:pPr>
        <w:divId w:val="97"/>
      </w:pPr>
      <w:r>
        <w:t>(8.1) und (8.2): Der Resource Server und der optionale Application Authorization Server werden ebenfalls vom Monitoring überwacht.</w:t>
      </w:r>
    </w:p>
    <w:p>
      <w:pPr>
        <w:divId w:val="98"/>
      </w:pPr>
      <w:r>
        <w:t>(j9.1) und (9.2): Aus den Monitoring Daten werden die Daten der Betriebs-Daten-Erfassung gebildet und versendet.</w:t>
      </w:r>
    </w:p>
    <w:p>
      <w:pPr>
        <w:divId w:val="99"/>
      </w:pPr>
      <w:r>
        <w:t>(10.1) und (10.2): Wenn der Betreiber ein SIEM einsetzt, werden aus dem Monitoring SIEM Daten ermittelt und optional an das zentrale SIEM der gematik gesendet.</w:t>
      </w:r>
    </w:p>
    <w:p>
      <w:pPr>
        <w:divId w:val="100"/>
      </w:pPr>
      <w:r>
        <w:t>(11): Der PDP fragt regelmäßig den PIP und PAP Service nach neuen Policies und Daten ab.</w:t>
      </w:r>
    </w:p>
    <w:p>
      <w:pPr>
        <w:divId w:val="101"/>
      </w:pPr>
      <w:r>
        <w:t>(12): Der Cluster Management Service überwacht die Clusterkonfiguration und setzt durch, dass die im GitHub Repository gespeicherte Konfiguration ausgeführt wird.</w:t>
      </w:r>
    </w:p>
    <w:p>
      <w:pPr>
        <w:pStyle w:val="Heading1"/>
        <w:divId w:val="102"/>
      </w:pPr>
      <w:bookmarkStart w:id="37" w:name="_Toc256000024"/>
      <w:r>
        <w:t>Technisches Konzept</w:t>
      </w:r>
      <w:bookmarkEnd w:id="37"/>
    </w:p>
    <w:p>
      <w:pPr>
        <w:divId w:val="103"/>
      </w:pPr>
      <w:r>
        <w:t>Im Kapitel zuvor wurden zwei Abbildungen vorgestellt, welche technischen Zero Trust-Komponenten (orange) an der Umsetzung fachlicher Anwendungsfälle von Clients, Komponenten und Backendservices von Fachanwendungen (grün) beteiligt sind. Im Folgenden werden diese technischen Komponenten genauer beschrieben und eingeordnet, welche Rolle sie in einer Architektur nach dem Zero Trust-Paradigma einnehmen.</w:t>
      </w:r>
    </w:p>
    <w:p>
      <w:pPr>
        <w:divId w:val="104"/>
      </w:pPr>
      <w:r>
        <w:t xml:space="preserve">Zero Trust in der TI zeichnet sich über </w:t>
      </w:r>
      <w:r>
        <w:commentReference w:id="38"/>
      </w:r>
      <w:r>
        <w:t xml:space="preserve"> folgende Eigenschaften aus:</w:t>
      </w:r>
    </w:p>
    <w:p>
      <w:pPr>
        <w:pStyle w:val="ListParagraph"/>
        <w:divId w:val="105"/>
        <w:numPr>
          <w:ilvl w:val="0"/>
          <w:numId w:val="7"/>
        </w:numPr>
      </w:pPr>
      <w:r>
        <w:t>Registrierung des Clients (Gerät und App) zu einer Identität</w:t>
      </w:r>
    </w:p>
    <w:p>
      <w:pPr>
        <w:pStyle w:val="ListParagraph"/>
        <w:divId w:val="105"/>
        <w:numPr>
          <w:ilvl w:val="0"/>
          <w:numId w:val="7"/>
        </w:numPr>
      </w:pPr>
      <w:r>
        <w:t>Attestation der Client-Eigenschaften</w:t>
      </w:r>
    </w:p>
    <w:p>
      <w:pPr>
        <w:pStyle w:val="ListParagraph"/>
        <w:divId w:val="105"/>
        <w:numPr>
          <w:ilvl w:val="0"/>
          <w:numId w:val="7"/>
        </w:numPr>
      </w:pPr>
      <w:r>
        <w:t>Bereitstellung einer von Maschinen interpretierbaren Policy durch die gematik</w:t>
      </w:r>
    </w:p>
    <w:p>
      <w:pPr>
        <w:pStyle w:val="ListParagraph"/>
        <w:divId w:val="105"/>
        <w:numPr>
          <w:ilvl w:val="0"/>
          <w:numId w:val="7"/>
        </w:numPr>
      </w:pPr>
      <w:r>
        <w:t>Einheitliches Durchsetzen der Policy durch die Fachdienste</w:t>
      </w:r>
    </w:p>
    <w:p>
      <w:pPr>
        <w:pStyle w:val="ListParagraph"/>
        <w:divId w:val="105"/>
        <w:numPr>
          <w:ilvl w:val="0"/>
          <w:numId w:val="7"/>
        </w:numPr>
      </w:pPr>
      <w:r>
        <w:t>Sicherstellung des Sicherheitszustands der gesamten TI, Anbieter übergreifend</w:t>
      </w:r>
    </w:p>
    <w:p>
      <w:pPr>
        <w:pStyle w:val="ListParagraph"/>
        <w:divId w:val="105"/>
        <w:numPr>
          <w:ilvl w:val="0"/>
          <w:numId w:val="7"/>
        </w:numPr>
      </w:pPr>
      <w:r>
        <w:t>Telemetrie und Monitoring</w:t>
      </w:r>
    </w:p>
    <w:p>
      <w:pPr>
        <w:pStyle w:val="Heading2"/>
        <w:divId w:val="106"/>
      </w:pPr>
      <w:bookmarkStart w:id="39" w:name="_Toc256000025"/>
      <w:r>
        <w:t>Zero Trust Cluster</w:t>
      </w:r>
      <w:bookmarkEnd w:id="39"/>
    </w:p>
    <w:p>
      <w:pPr>
        <w:divId w:val="107"/>
      </w:pPr>
      <w:r>
        <w:t xml:space="preserve">Der Zero Trust Cluster (ZT Cluster) besteht aus Policy Enforcement Point (PEP), Policy Decision Point (PDP) sowie betriebsunterstützenden Komponenten (Cluster Management Service und Telemetrie Daten Service). Der PEP ist aufgeteilt in http Proxy, Authorization Server und Client Registry. Jeder TI 2.0 Dienst hat einen ZT Cluster zum Schutz des Dienstes vor unberechtigtem Zugriff. </w:t>
      </w:r>
      <w:r>
        <w:commentReference w:id="40"/>
      </w:r>
      <w:r>
        <w:t xml:space="preserve"> Der ZT Cluster wird in der Verantwortung des TI 2.0 Dienst-Betreibers betrieben. </w:t>
      </w:r>
      <w:r>
        <w:commentReference w:id="41"/>
      </w:r>
    </w:p>
    <w:p>
      <w:pPr>
        <w:pStyle w:val="Heading2"/>
        <w:divId w:val="108"/>
      </w:pPr>
      <w:bookmarkStart w:id="42" w:name="_Toc256000026"/>
      <w:r>
        <w:t>Policy Enforcement Point (PEP)</w:t>
      </w:r>
      <w:bookmarkEnd w:id="42"/>
    </w:p>
    <w:p>
      <w:pPr>
        <w:divId w:val="109"/>
        <w:ind w:left="0" w:right="0"/>
      </w:pPr>
      <w:r>
        <w:rPr>
          <w:shd w:val="clear" w:color="auto" w:fill="FFFFFF"/>
        </w:rPr>
        <w:t>Ein Policy Enforcement Point (PEP) ist eine Schlüsselkomponente im Zero Trust-Paradigma, der darauf abzielt, dass Sicherheitsmodell von einem vertrauensbasierten auf ein verifizierungsbasiertes umzustellen. Der PEP dient dazu, den Zugriff auf Ressourcen, basierend auf vordefinierten Richtlinien, zu kontrollieren und durchzusetzen. Im Kontext der TI 2.0 übernimmt der PEP folgende Funktionen:</w:t>
      </w:r>
    </w:p>
    <w:p>
      <w:pPr>
        <w:pStyle w:val="ListParagraph"/>
        <w:divId w:val="110"/>
        <w:numPr>
          <w:ilvl w:val="0"/>
          <w:numId w:val="8"/>
        </w:numPr>
      </w:pPr>
      <w:r>
        <w:t>Der PEP agiert als http Proxy, der den Datenverkehr zwischen Clientanwendungen und den zu schützenden Ressourcen kontrolliert. Dadurch kann der PEP den gesamten Datenverkehr überwachen und filtern, um sicherzustellen, dass er den festgelegten Sicherheitsrichtlinien entspricht.</w:t>
      </w:r>
    </w:p>
    <w:p>
      <w:pPr>
        <w:pStyle w:val="ListParagraph"/>
        <w:divId w:val="111"/>
        <w:numPr>
          <w:ilvl w:val="0"/>
          <w:numId w:val="9"/>
        </w:numPr>
      </w:pPr>
      <w:r>
        <w:t>Der PEP ist als vertrauenswürdige Relying Party im föderierten Identitätsmanagement registriert. Dadurch kann der PEP Identitätsinformationen von Benutzern sicher und vertrauenswürdig beziehen und bei Bedarf eine (erneute) Nutzer-Authentifizierung an die IDPs delegieren. Dadurch stellt der PEP sicher, dass nur authentifizierte Benutzer Zugriff auf die geschützten Ressourcen erhalten.</w:t>
      </w:r>
    </w:p>
    <w:p>
      <w:pPr>
        <w:pStyle w:val="ListParagraph"/>
        <w:divId w:val="112"/>
        <w:numPr>
          <w:ilvl w:val="0"/>
          <w:numId w:val="10"/>
        </w:numPr>
      </w:pPr>
      <w:r>
        <w:t>Der PEP fungiert als OAuth2 Authorization Server und verwaltet die Autorisierung von Benutzeranfragen auf geschützte Ressourcen. Zudem überwacht der PEP die Benutzersessions, um sicherzustellen, dass sie gültig sind und den Sicherheitsrichtlinien entsprechen.</w:t>
      </w:r>
    </w:p>
    <w:p>
      <w:pPr>
        <w:pStyle w:val="ListParagraph"/>
        <w:divId w:val="113"/>
        <w:numPr>
          <w:ilvl w:val="0"/>
          <w:numId w:val="11"/>
        </w:numPr>
      </w:pPr>
      <w:r>
        <w:t>Der PEP ermöglicht die dynamische Registrierung von Clients, die auf geschützte Ressourcen zugreifen möchten. Dies umfasst auch die Offband-Bestätigung, bei der zusätzliche Sicherheitsmechanismen (Verifikation via E-Mail oder SMS) verwendet werden, um die Identität und Integrität (plattformabhängig) der registrierten Clients zu überprüfen.</w:t>
      </w:r>
    </w:p>
    <w:p>
      <w:pPr>
        <w:divId w:val="114"/>
        <w:ind w:left="0" w:right="0"/>
      </w:pPr>
      <w:r>
        <w:rPr>
          <w:shd w:val="clear" w:color="auto" w:fill="FFFFFF"/>
        </w:rPr>
        <w:t xml:space="preserve">Insgesamt agiert der PEP als Kontrollpunkt in der Zero Trust Architektur, der sicherstellt, dass nur autorisierte Benutzer und Geräte Zugriff auf die Ressourcen eines Dienstes erhalten und dass dabei die definierten Sicherheitspolicies eingehalten werden. </w:t>
      </w:r>
      <w:r>
        <w:rPr>
          <w:shd w:val="clear" w:color="auto" w:fill="FFFFFF"/>
        </w:rPr>
        <w:commentReference w:id="43"/>
      </w:r>
      <w:r>
        <w:rPr>
          <w:shd w:val="clear" w:color="auto" w:fill="FFFFFF"/>
        </w:rPr>
        <w:t xml:space="preserve"> Die Entscheidung zwischen verschiedenen Policies auf Basis der vom Client übergebenen Signale, Sicherheitsnachweise und Token trifft der Policy Decision Point.</w:t>
      </w:r>
    </w:p>
    <w:p>
      <w:pPr>
        <w:divId w:val="115"/>
      </w:pPr>
      <w:r>
        <w:t>In der TI 2.0 ist der PEP Teil der Betriebsumgebung eines Fachdienstes einer Fachanwendung.</w:t>
      </w:r>
    </w:p>
    <w:p>
      <w:pPr>
        <w:pStyle w:val="Heading2"/>
        <w:divId w:val="116"/>
      </w:pPr>
      <w:bookmarkStart w:id="44" w:name="_Toc256000027"/>
      <w:r>
        <w:t>Policy Decision Point (PDP)</w:t>
      </w:r>
      <w:bookmarkEnd w:id="44"/>
    </w:p>
    <w:p>
      <w:pPr>
        <w:divId w:val="117"/>
        <w:ind w:left="0" w:right="0"/>
      </w:pPr>
      <w:r>
        <w:rPr>
          <w:shd w:val="clear" w:color="auto" w:fill="FFFFFF"/>
        </w:rPr>
        <w:t>Ein Policy Decision Point (PDP) ist die wesentliche Komponente im Zero Trust-Paradigma, die Zugriffsentscheidungen auf Plattformebene trifft, indem sie Richtlinien (Policies) interpretiert und anhand dieser Richtlinien Zugriffsanfragen bewertet. Folgende Funktionen eines PDP sind dabei zentral:</w:t>
      </w:r>
    </w:p>
    <w:p>
      <w:pPr>
        <w:pStyle w:val="ListParagraph"/>
        <w:divId w:val="118"/>
        <w:numPr>
          <w:ilvl w:val="0"/>
          <w:numId w:val="12"/>
        </w:numPr>
      </w:pPr>
      <w:r>
        <w:t xml:space="preserve">Der PDP analysiert und interpretiert die Sicherheitsrichtlinien, die im Rahmen des Zero Trust-Modells definiert sind. Diese </w:t>
      </w:r>
      <w:r>
        <w:rPr>
          <w:shd w:val="clear" w:color="auto" w:fill="FFFFFF"/>
        </w:rPr>
        <w:t>Policies </w:t>
      </w:r>
      <w:r>
        <w:t>können Kriterien enthalten wie Benutzeridentität, Gerätetyp, Standort, Zeitpunkt der Anfrage und andere Kontextinformationen ("Signale"), die relevant für die Zugriffsentscheidung sind.</w:t>
      </w:r>
    </w:p>
    <w:p>
      <w:pPr>
        <w:pStyle w:val="ListParagraph"/>
        <w:divId w:val="119"/>
        <w:numPr>
          <w:ilvl w:val="0"/>
          <w:numId w:val="13"/>
        </w:numPr>
      </w:pPr>
      <w:r>
        <w:t xml:space="preserve">Basierend auf der Interpretation der </w:t>
      </w:r>
      <w:r>
        <w:rPr>
          <w:shd w:val="clear" w:color="auto" w:fill="FFFFFF"/>
        </w:rPr>
        <w:t>Policies </w:t>
      </w:r>
      <w:r>
        <w:t>trifft der PDP Entscheidungen darüber, ob eine Zugriffsanfrage auf eine bestimmte Ressource genehmigt oder abgelehnt wird. Diese Entscheidungen erfolgen auf Plattformebene, was bedeutet, dass der PDP die Zugriffsanfragen im Kontext der gesamten Plattform oder des Netzwerks bewertet, und nicht isoliert betrachtet. Die Zugriffsentscheidung resultiert dann in der Ausstellung eines Access Tokens, das für den konkret angefragten Zugriff verwendet wird (siehe Policy Enforcement).</w:t>
      </w:r>
    </w:p>
    <w:p>
      <w:pPr>
        <w:pStyle w:val="ListParagraph"/>
        <w:divId w:val="120"/>
        <w:numPr>
          <w:ilvl w:val="0"/>
          <w:numId w:val="14"/>
        </w:numPr>
      </w:pPr>
      <w:r>
        <w:rPr>
          <w:shd w:val="clear" w:color="auto" w:fill="FFFFFF"/>
        </w:rPr>
        <w:t>Der PDP verwendet dabei die Informationen, die ihm übermittelt werden, um die Zugriffsentscheidung zu treffen. Dazu gehören nicht nur die Policies selbst, sondern auch Echtzeitinformationen über den Zustand von Benutzeridentitäten, Geräten und andere Kontextinformationen, die für die Bewertung der Zugriffsanfrage relevant sind.</w:t>
      </w:r>
    </w:p>
    <w:p>
      <w:pPr>
        <w:divId w:val="121"/>
        <w:ind w:left="0" w:right="0"/>
      </w:pPr>
      <w:r>
        <w:rPr>
          <w:shd w:val="clear" w:color="auto" w:fill="FFFFFF"/>
        </w:rPr>
        <w:commentReference w:id="45"/>
      </w:r>
      <w:r>
        <w:rPr>
          <w:shd w:val="clear" w:color="auto" w:fill="FFFFFF"/>
        </w:rPr>
        <w:t xml:space="preserve"> Durch die Analyse von Policies und die Bewertung von Zugriffsanfragen auf Plattformebene trägt der PDP dazu bei, sicherzustellen, dass nur autorisierte Benutzer und Geräte Zugriff auf geschützte Ressourcen erhalten </w:t>
      </w:r>
      <w:r>
        <w:rPr>
          <w:shd w:val="clear" w:color="auto" w:fill="FFFFFF"/>
        </w:rPr>
        <w:commentReference w:id="46"/>
      </w:r>
      <w:r>
        <w:rPr>
          <w:shd w:val="clear" w:color="auto" w:fill="FFFFFF"/>
        </w:rPr>
        <w:t>.</w:t>
      </w:r>
    </w:p>
    <w:p>
      <w:pPr>
        <w:pStyle w:val="Heading2"/>
        <w:divId w:val="122"/>
      </w:pPr>
      <w:bookmarkStart w:id="47" w:name="_Toc256000028"/>
      <w:r>
        <w:t>Trust Client</w:t>
      </w:r>
      <w:bookmarkEnd w:id="47"/>
    </w:p>
    <w:p>
      <w:pPr>
        <w:divId w:val="123"/>
        <w:ind w:left="0" w:right="0"/>
      </w:pPr>
      <w:r>
        <w:rPr>
          <w:shd w:val="clear" w:color="auto" w:fill="FFFFFF"/>
        </w:rPr>
        <w:t xml:space="preserve">Im Kontext von Zero Trust stellt der "Trust Client" eine logische Komponente </w:t>
      </w:r>
      <w:r>
        <w:rPr>
          <w:shd w:val="clear" w:color="auto" w:fill="FFFFFF"/>
        </w:rPr>
        <w:t xml:space="preserve"> innerhalb einer Clientanwendung (Primärsystem (PS), Frontend des Versicherten (FdV) etc.) dar, die im Rahmen des Zero Trust-Paradigmas als vertrauenswürdig eingestuft wird. Dies steht im Gegensatz zu der traditionellen Annahme, dass ein, eine Schnittstelle aufrufendes, Clientsystem automatisch als vertrauenswürdig betrachtet wird. Das Vertrauen in Clientanwendungen erwächst beispielsweise durch regelmäßige Softwareupdates, authentische und  verschlüsselte Kommunikation und die Verwendung von Zertifikaten, die die Einhaltung dieser Maßnahmen beweisen.</w:t>
      </w:r>
      <w:r>
        <w:commentReference w:id="48"/>
      </w:r>
      <w:r>
        <w:commentReference w:id="49"/>
      </w:r>
    </w:p>
    <w:p>
      <w:pPr>
        <w:divId w:val="124"/>
        <w:ind w:left="0" w:right="0"/>
      </w:pPr>
      <w:r>
        <w:rPr>
          <w:shd w:val="clear" w:color="auto" w:fill="FFFFFF"/>
        </w:rPr>
        <w:t xml:space="preserve">Ein Trust Client im Zero Trust-Modell wird nicht mehr blind als vertrauenswürdig angesehen, </w:t>
      </w:r>
      <w:r>
        <w:rPr>
          <w:shd w:val="clear" w:color="auto" w:fill="FFFFFF"/>
        </w:rPr>
        <w:commentReference w:id="50"/>
      </w:r>
      <w:r>
        <w:rPr>
          <w:shd w:val="clear" w:color="auto" w:fill="FFFFFF"/>
        </w:rPr>
        <w:t xml:space="preserve"> sondern muss genauso wie alle Komponenten im Netzwerk kontinuierlich authentifiziert und autorisiert werden. Selbst wenn ein Endpunkt als Trust Client eingestuft ist, bedeutet dies nicht, dass er ungehinderten Zugriff auf alle Ressourcen im Netzwerk hat. Stattdessen werden Zugriffsentscheidungen basierend auf aktuellen Richtlinien, Kontextinformationen, Bedrohungsinformationen und insbesondere in Kenntnis des diesen Client benutzenden Benutzers getroffen (s. u. Zusammenspiel mit Identity Provider (IdP)).</w:t>
      </w:r>
    </w:p>
    <w:p>
      <w:pPr>
        <w:pStyle w:val="Heading2"/>
        <w:divId w:val="125"/>
      </w:pPr>
      <w:bookmarkStart w:id="51" w:name="_Toc256000029"/>
      <w:r>
        <w:t>Policy Information und -Administration</w:t>
      </w:r>
      <w:bookmarkEnd w:id="51"/>
    </w:p>
    <w:p>
      <w:pPr>
        <w:divId w:val="126"/>
        <w:ind w:left="0" w:right="0"/>
      </w:pPr>
      <w:r>
        <w:t>Im Zero Trust-Pa</w:t>
      </w:r>
      <w:r>
        <w:rPr>
          <w:shd w:val="clear" w:color="auto" w:fill="FFFFFF"/>
        </w:rPr>
        <w:t>radigma spielen der Policy Information Point (PIP) und der Policy Administration Point (PAP) wichtige Rollen bei der Verwaltung und Durchsetzung von Sicherheitsrichtlinien bzw. Policies. Zusammen ermöglichen der PIP und der PAP eine zentrale Verwaltung und Bereitstellung von Policies im Zero Trust-Netzwerk.</w:t>
      </w:r>
    </w:p>
    <w:p>
      <w:pPr>
        <w:divId w:val="127"/>
      </w:pPr>
      <w:r>
        <w:t>Der PAP stellt Policies bereit und der PIP stellt die Daten für die Policies bereit, sodass sich aus beiden ein Regelwerk ergibt, das der PDP anwendet, um zu entscheiden, ob eine Kommunikationsanfrage zulässig ist.</w:t>
      </w:r>
    </w:p>
    <w:p>
      <w:pPr>
        <w:pStyle w:val="Heading3"/>
        <w:divId w:val="128"/>
      </w:pPr>
      <w:bookmarkStart w:id="52" w:name="_Toc256000030"/>
      <w:r>
        <w:t>Policy Information Point (PIP)</w:t>
      </w:r>
      <w:bookmarkEnd w:id="52"/>
    </w:p>
    <w:p>
      <w:pPr>
        <w:divId w:val="129"/>
      </w:pPr>
      <w:r>
        <w:t xml:space="preserve">Der PIP ist für die Bereitstellung von Informationen über Sicherheitsrichtlinien zuständig. Er dient als zentraler Informationsdienst, der anderen Systemen und Komponenten im Zero Trust-Netzwerk Zugriff auf aktuelle Sicherheitsrichtlinien ermöglicht. Der PIP kann Attribute wie Benutzerrollen, Zugriffsrechte, Gerätezustände und andere Kontextinformationen bereitstellen, die von anderen Komponenten für die Zugriffsentscheidung benötigt werden. Der PIP kann Daten aus verschiedenen Quellen beziehen, einschließlich einer zentralen Richtliniendatenbank, externen Identitätsanbietern, Sicherheitsinformationen von Geräten und anderen Quellen. </w:t>
      </w:r>
      <w:r>
        <w:commentReference w:id="53"/>
      </w:r>
      <w:r>
        <w:commentReference w:id="54"/>
      </w:r>
    </w:p>
    <w:p>
      <w:pPr>
        <w:divId w:val="130"/>
      </w:pPr>
    </w:p>
    <w:p>
      <w:pPr>
        <w:pStyle w:val="Heading3"/>
        <w:divId w:val="131"/>
      </w:pPr>
      <w:bookmarkStart w:id="55" w:name="_Toc256000031"/>
      <w:r>
        <w:t>Policy Administration Point (PAP)</w:t>
      </w:r>
      <w:bookmarkEnd w:id="55"/>
    </w:p>
    <w:p>
      <w:pPr>
        <w:divId w:val="132"/>
      </w:pPr>
      <w:r>
        <w:t xml:space="preserve">Der PAP ist für die Verwaltung und Konfiguration von Sicherheitsrichtlinien verantwortlich. Er bietet eine Schnittstelle oder eine Konsole, über die Richtlinien in hoheitlicher Verantwortung definiert, geändert und gelöscht werden können. Policy-Administratoren können im PAP Zugriffsregeln, Autorisierungsniveaus, Bedrohungsabwehrmaßnahmen und andere Sicherheitsrichtlinien festlegen. Der PAP ermöglicht es Policy-Administratoren, </w:t>
      </w:r>
      <w:r>
        <w:commentReference w:id="56"/>
      </w:r>
      <w:r>
        <w:t xml:space="preserve"> Richtlinien - basierend auf verschiedenen Kriterien wie Benutzerrollen, Gruppenzugehörigkeit, Standorten und Geräteattributen - zu differenzieren. Änderungen an den Sicherheitsrichtlinien, die im PAP vorgenommen werden, werden an den PIP weitergegeben, damit andere Komponenten im Zero Trust-Netzwerk auf die aktualisierten Richtlinien zugreifen können. </w:t>
      </w:r>
      <w:r>
        <w:t xml:space="preserve"> Das Vertrauen in bereitgestellte und angepasste Policies wird über Signaturen für die Sicherstellung von Integrität und Authentizität jeder Policy sichergestellt.</w:t>
      </w:r>
    </w:p>
    <w:p>
      <w:pPr>
        <w:pStyle w:val="Heading2"/>
        <w:divId w:val="133"/>
      </w:pPr>
      <w:bookmarkStart w:id="57" w:name="_Toc256000032"/>
      <w:r>
        <w:t>Clientregistrierung</w:t>
      </w:r>
      <w:bookmarkEnd w:id="57"/>
    </w:p>
    <w:p>
      <w:pPr>
        <w:divId w:val="134"/>
      </w:pPr>
      <w:r>
        <w:t>Alle Clients, die mit Diensten der TI2.0 kommunizieren, sind zur Laufzeit bekannt. Mit einer Attestierung in Abhängigkeit der verfügbaren Mechanismen der Laufzeitumgebung (Geräte-Features, Betriebssystem) kann ein Vertrauen und eine Wiedererkennung von Clients und Geräten aufgebaut werden.</w:t>
      </w:r>
    </w:p>
    <w:p>
      <w:pPr>
        <w:divId w:val="135"/>
      </w:pPr>
      <w:r>
        <w:t>Die folgenden statischen Eigenschaften werden im Rahmen der Bereitstellung von Clientanwendungen erfasst und sind unabhängig von der Nutzung durch einen konkreten Benutzer.</w:t>
      </w:r>
    </w:p>
    <w:p>
      <w:pPr>
        <w:pStyle w:val="Caption"/>
        <w:keepNext/>
        <w:jc w:val="left"/>
      </w:pPr>
      <w:bookmarkStart w:id="58" w:name="_Toc256000089"/>
      <w:r>
        <w:t xml:space="preserve">Tabelle </w:t>
      </w:r>
      <w:r>
        <w:fldChar w:fldCharType="begin"/>
      </w:r>
      <w:r>
        <w:instrText xml:space="preserve"> SEQ Tabelle \* ARABIC </w:instrText>
      </w:r>
      <w:r>
        <w:fldChar w:fldCharType="separate"/>
      </w:r>
      <w:r>
        <w:t>1</w:t>
      </w:r>
      <w:r>
        <w:fldChar w:fldCharType="end"/>
      </w:r>
      <w:r>
        <w:t>: Statische Eigenschaften Clientsysteme auf Hersteller-/Herausgeber-/Anbieterebene</w:t>
      </w:r>
      <w:bookmarkEnd w:id="58"/>
    </w:p>
    <w:tbl>
      <w:tblPr>
        <w:tblStyle w:val="PolarionTableNormal"/>
        <w:tblW w:w="5000" w:type="pct"/>
        <w:jc w:val="left"/>
        <w:tblBorders>
          <w:top w:val="single" w:sz="8" w:space="0" w:color="CCCCCC"/>
          <w:left w:val="single" w:sz="8" w:space="0" w:color="CCCCCC"/>
          <w:bottom w:val="single" w:sz="8" w:space="0" w:color="CCCCCC"/>
          <w:right w:val="single" w:sz="8" w:space="0" w:color="CCCCCC"/>
        </w:tblBorders>
      </w:tblPr>
      <w:tblGrid>
        <w:gridCol w:w="2276"/>
        <w:gridCol w:w="6944"/>
      </w:tblGrid>
      <w:tr>
        <w:tblPrEx>
          <w:tblW w:w="5000" w:type="pct"/>
          <w:jc w:val="left"/>
          <w:tblBorders>
            <w:top w:val="single" w:sz="8" w:space="0" w:color="CCCCCC"/>
            <w:left w:val="single" w:sz="8" w:space="0" w:color="CCCCCC"/>
            <w:bottom w:val="single" w:sz="8" w:space="0" w:color="CCCCCC"/>
            <w:right w:val="single" w:sz="8" w:space="0" w:color="CCCCCC"/>
          </w:tblBorders>
        </w:tblPrEx>
        <w:trPr>
          <w:divId w:val="136"/>
          <w:trHeight w:val="180"/>
          <w:jc w:val="left"/>
        </w:trPr>
        <w:tc>
          <w:tcPr>
            <w:tcW w:w="2505"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b/>
              </w:rPr>
              <w:t>Client Eigenschaft</w:t>
            </w:r>
          </w:p>
        </w:tc>
        <w:tc>
          <w:tcPr>
            <w:tcW w:w="8460"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b/>
              </w:rPr>
              <w:t>Beschreibung</w:t>
            </w:r>
          </w:p>
        </w:tc>
      </w:tr>
      <w:tr>
        <w:tblPrEx>
          <w:tblW w:w="5000" w:type="pct"/>
          <w:jc w:val="left"/>
        </w:tblPrEx>
        <w:trPr>
          <w:divId w:val="136"/>
          <w:trHeight w:val="180"/>
          <w:jc w:val="left"/>
        </w:trPr>
        <w:tc>
          <w:tcPr>
            <w:tcW w:w="250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Produkt-Id</w:t>
            </w:r>
          </w:p>
        </w:tc>
        <w:tc>
          <w:tcPr>
            <w:tcW w:w="846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Eindeutige ID der Client-Software,, vergeben durch gematik über einen ITSM Prozess</w:t>
            </w:r>
          </w:p>
        </w:tc>
      </w:tr>
      <w:tr>
        <w:tblPrEx>
          <w:tblW w:w="5000" w:type="pct"/>
          <w:jc w:val="left"/>
        </w:tblPrEx>
        <w:trPr>
          <w:divId w:val="136"/>
          <w:trHeight w:val="180"/>
          <w:jc w:val="left"/>
        </w:trPr>
        <w:tc>
          <w:tcPr>
            <w:tcW w:w="250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Produkt-Name</w:t>
            </w:r>
          </w:p>
        </w:tc>
        <w:tc>
          <w:tcPr>
            <w:tcW w:w="846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Produkt-Name, vergeben durch den Hersteller</w:t>
            </w:r>
          </w:p>
        </w:tc>
      </w:tr>
      <w:tr>
        <w:tblPrEx>
          <w:tblW w:w="5000" w:type="pct"/>
          <w:jc w:val="left"/>
        </w:tblPrEx>
        <w:trPr>
          <w:divId w:val="136"/>
          <w:trHeight w:val="180"/>
          <w:jc w:val="left"/>
        </w:trPr>
        <w:tc>
          <w:tcPr>
            <w:tcW w:w="250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Hersteller-Id</w:t>
            </w:r>
          </w:p>
        </w:tc>
        <w:tc>
          <w:tcPr>
            <w:tcW w:w="846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Kennung des Herstellers aus TI-ITSM</w:t>
            </w:r>
          </w:p>
        </w:tc>
      </w:tr>
      <w:tr>
        <w:tblPrEx>
          <w:tblW w:w="5000" w:type="pct"/>
          <w:jc w:val="left"/>
        </w:tblPrEx>
        <w:trPr>
          <w:divId w:val="136"/>
          <w:trHeight w:val="180"/>
          <w:jc w:val="left"/>
        </w:trPr>
        <w:tc>
          <w:tcPr>
            <w:tcW w:w="250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Hersteller-Name</w:t>
            </w:r>
          </w:p>
        </w:tc>
        <w:tc>
          <w:tcPr>
            <w:tcW w:w="846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Name des Herstellers aus TI-ITSM</w:t>
            </w:r>
          </w:p>
        </w:tc>
      </w:tr>
      <w:tr>
        <w:tblPrEx>
          <w:tblW w:w="5000" w:type="pct"/>
          <w:jc w:val="left"/>
        </w:tblPrEx>
        <w:trPr>
          <w:divId w:val="136"/>
          <w:trHeight w:val="180"/>
          <w:jc w:val="left"/>
        </w:trPr>
        <w:tc>
          <w:tcPr>
            <w:tcW w:w="250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Produkt-Platform</w:t>
            </w:r>
          </w:p>
        </w:tc>
        <w:tc>
          <w:tcPr>
            <w:tcW w:w="846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Zunächst werden zwei Plattformen gesondert behandelt: Android und Apple (iOS, macOS etc). Diese beide Plattformen bieten Mechanismen für die Attestation der Client-Instanzen und der Umgebung, in welcher diese Clients ausgeführt werden.</w:t>
            </w:r>
            <w:r>
              <w:br/>
            </w:r>
            <w:r>
              <w:br/>
            </w:r>
            <w:r>
              <w:t>Alle andere Clients werden zunächst als generische Software-Produkte eingestuft.</w:t>
            </w:r>
          </w:p>
        </w:tc>
      </w:tr>
      <w:tr>
        <w:tblPrEx>
          <w:tblW w:w="5000" w:type="pct"/>
          <w:jc w:val="left"/>
        </w:tblPrEx>
        <w:trPr>
          <w:divId w:val="136"/>
          <w:trHeight w:val="180"/>
          <w:jc w:val="left"/>
        </w:trPr>
        <w:tc>
          <w:tcPr>
            <w:tcW w:w="250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Produkt-Plattform-Id</w:t>
            </w:r>
          </w:p>
        </w:tc>
        <w:tc>
          <w:tcPr>
            <w:tcW w:w="846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Plattformspezifisch eindeutige Kennung der Client-Software</w:t>
            </w:r>
            <w:r>
              <w:br/>
            </w:r>
            <w:r>
              <w:br/>
            </w:r>
            <w:r>
              <w:t>Android: Package-Name und Signer-Zertifikat Fingerprint</w:t>
            </w:r>
            <w:r>
              <w:br/>
            </w:r>
            <w:r>
              <w:t>Apple: Bundle-ID und Apple-ID</w:t>
            </w:r>
            <w:r>
              <w:br/>
            </w:r>
            <w:r>
              <w:t>Software: Registriert durch gematik , analog zu ClientIds in E-Rezept</w:t>
            </w:r>
          </w:p>
        </w:tc>
      </w:tr>
      <w:tr>
        <w:tblPrEx>
          <w:tblW w:w="5000" w:type="pct"/>
          <w:jc w:val="left"/>
        </w:tblPrEx>
        <w:trPr>
          <w:divId w:val="136"/>
          <w:trHeight w:val="180"/>
          <w:jc w:val="left"/>
        </w:trPr>
        <w:tc>
          <w:tcPr>
            <w:tcW w:w="250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Attestation-Methode</w:t>
            </w:r>
          </w:p>
        </w:tc>
        <w:tc>
          <w:tcPr>
            <w:tcW w:w="846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Die Methode, nach welcher die Client-Software und die Ablaufumgebung attestiert werden kann.</w:t>
            </w:r>
            <w:r>
              <w:br/>
            </w:r>
            <w:r>
              <w:br/>
            </w:r>
            <w:r>
              <w:t>Zunächst werden Android und Apple unterstützt, weil diese Plattformen entsprechende Mechanismen zur Remote-Attestation anbieten. </w:t>
            </w:r>
            <w:r>
              <w:br/>
            </w:r>
            <w:r>
              <w:br/>
            </w:r>
            <w:r>
              <w:t>Perspektivisch ist es geplant, weitere Plattformen zur Attestation der Clients einzuführen, z. B. über TPM 2.0 auf Windows und Linux. Nicht attestierbare Software-Clients müssen zunächst einen weiteren Faktor verwenden, z. B. SM-B.</w:t>
            </w:r>
          </w:p>
        </w:tc>
      </w:tr>
    </w:tbl>
    <w:p>
      <w:pPr>
        <w:divId w:val="137"/>
      </w:pPr>
      <w:r>
        <w:t>​​</w:t>
      </w:r>
    </w:p>
    <w:p>
      <w:pPr>
        <w:divId w:val="138"/>
      </w:pPr>
      <w:r>
        <w:t xml:space="preserve">Bei der Registrierung werden die statischen Eigenschaften eines Client-Systems für jede Client-Instanz mit einem vom Client-Nutzer </w:t>
      </w:r>
      <w:r>
        <w:commentReference w:id="59"/>
      </w:r>
      <w:r>
        <w:t xml:space="preserve"> signierten Softwarestatement bekannt gemacht. Durch die Registrierung bekommen die Clients eine kryptographische Identität und werden Server-seitig an den Nutzer gebunden. Der Nutzer muss bei der Registrierung eine TI-Identität vorweisen, z. B. GesundheitsID oder SM-B (über IDP-Dienst der gematik).</w:t>
      </w:r>
    </w:p>
    <w:p>
      <w:pPr>
        <w:divId w:val="139"/>
      </w:pPr>
      <w:r>
        <w:t>Zur Laufzeit werden die Client-Eigenschaften durch Client-Instanz-Eigenschaften ergänzt. Sie sind spezifisch für eine konkrete Installation auf einem bestimmten Gerät eines Benutzers. Sie sind insofern dynamisch, als dass sich der Patchlevel des Betriebssystems oder sich die Version der Clientinstanz durch Updates verändern kann.</w:t>
      </w:r>
    </w:p>
    <w:p>
      <w:pPr>
        <w:pStyle w:val="Caption"/>
        <w:keepNext/>
        <w:jc w:val="left"/>
      </w:pPr>
      <w:bookmarkStart w:id="60" w:name="_Toc256000090"/>
      <w:r>
        <w:t xml:space="preserve">Tabelle </w:t>
      </w:r>
      <w:r>
        <w:fldChar w:fldCharType="begin"/>
      </w:r>
      <w:r>
        <w:instrText xml:space="preserve"> SEQ Tabelle \* ARABIC </w:instrText>
      </w:r>
      <w:r>
        <w:fldChar w:fldCharType="separate"/>
      </w:r>
      <w:r>
        <w:t>2</w:t>
      </w:r>
      <w:r>
        <w:fldChar w:fldCharType="end"/>
      </w:r>
      <w:r>
        <w:t xml:space="preserve"> : Eigenschaften Clientsysteme auf Instanzebene (pro Installation</w:t>
      </w:r>
      <w:bookmarkEnd w:id="60"/>
    </w:p>
    <w:tbl>
      <w:tblPr>
        <w:tblStyle w:val="PolarionTableNormal"/>
        <w:tblW w:w="5000" w:type="pct"/>
        <w:jc w:val="left"/>
        <w:tblBorders>
          <w:top w:val="single" w:sz="8" w:space="0" w:color="CCCCCC"/>
          <w:left w:val="single" w:sz="8" w:space="0" w:color="CCCCCC"/>
          <w:bottom w:val="single" w:sz="8" w:space="0" w:color="CCCCCC"/>
          <w:right w:val="single" w:sz="8" w:space="0" w:color="CCCCCC"/>
        </w:tblBorders>
      </w:tblPr>
      <w:tblGrid>
        <w:gridCol w:w="2639"/>
        <w:gridCol w:w="6581"/>
      </w:tblGrid>
      <w:tr>
        <w:tblPrEx>
          <w:tblW w:w="5000" w:type="pct"/>
          <w:jc w:val="left"/>
          <w:tblBorders>
            <w:top w:val="single" w:sz="8" w:space="0" w:color="CCCCCC"/>
            <w:left w:val="single" w:sz="8" w:space="0" w:color="CCCCCC"/>
            <w:bottom w:val="single" w:sz="8" w:space="0" w:color="CCCCCC"/>
            <w:right w:val="single" w:sz="8" w:space="0" w:color="CCCCCC"/>
          </w:tblBorders>
        </w:tblPrEx>
        <w:trPr>
          <w:divId w:val="140"/>
          <w:trHeight w:val="180"/>
          <w:jc w:val="left"/>
        </w:trPr>
        <w:tc>
          <w:tcPr>
            <w:tcW w:w="3000"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b/>
              </w:rPr>
              <w:t>Client-Instanz-Eigenschaften</w:t>
            </w:r>
          </w:p>
        </w:tc>
        <w:tc>
          <w:tcPr>
            <w:tcW w:w="7965"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b/>
              </w:rPr>
              <w:t>Beschreibung</w:t>
            </w:r>
          </w:p>
        </w:tc>
      </w:tr>
      <w:tr>
        <w:tblPrEx>
          <w:tblW w:w="5000" w:type="pct"/>
          <w:jc w:val="left"/>
        </w:tblPrEx>
        <w:trPr>
          <w:divId w:val="140"/>
          <w:trHeight w:val="180"/>
          <w:jc w:val="left"/>
        </w:trPr>
        <w:tc>
          <w:tcPr>
            <w:tcW w:w="300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Produkt-Version</w:t>
            </w:r>
          </w:p>
        </w:tc>
        <w:tc>
          <w:tcPr>
            <w:tcW w:w="79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Aktuelle Version der Client-Software</w:t>
            </w:r>
          </w:p>
        </w:tc>
      </w:tr>
      <w:tr>
        <w:tblPrEx>
          <w:tblW w:w="5000" w:type="pct"/>
          <w:jc w:val="left"/>
        </w:tblPrEx>
        <w:trPr>
          <w:divId w:val="140"/>
          <w:trHeight w:val="180"/>
          <w:jc w:val="left"/>
        </w:trPr>
        <w:tc>
          <w:tcPr>
            <w:tcW w:w="300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Client-Nutzer (Owner)</w:t>
            </w:r>
          </w:p>
        </w:tc>
        <w:tc>
          <w:tcPr>
            <w:tcW w:w="79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Informationen über den Client-Nutzer</w:t>
            </w:r>
          </w:p>
        </w:tc>
      </w:tr>
      <w:tr>
        <w:tblPrEx>
          <w:tblW w:w="5000" w:type="pct"/>
          <w:jc w:val="left"/>
        </w:tblPrEx>
        <w:trPr>
          <w:divId w:val="140"/>
          <w:trHeight w:val="180"/>
          <w:jc w:val="left"/>
        </w:trPr>
        <w:tc>
          <w:tcPr>
            <w:tcW w:w="300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Client-Eigenschaften (Posture)</w:t>
            </w:r>
          </w:p>
        </w:tc>
        <w:tc>
          <w:tcPr>
            <w:tcW w:w="79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Aktuelle Eigenschaften der Ablaufumgebung des Clients, insbesondere:</w:t>
            </w:r>
          </w:p>
          <w:p>
            <w:pPr>
              <w:pStyle w:val="ListParagraph"/>
              <w:numPr>
                <w:ilvl w:val="0"/>
                <w:numId w:val="15"/>
              </w:numPr>
              <w:jc w:val="left"/>
            </w:pPr>
            <w:r>
              <w:t>Betriebssystem</w:t>
            </w:r>
          </w:p>
          <w:p>
            <w:pPr>
              <w:pStyle w:val="ListParagraph"/>
              <w:numPr>
                <w:ilvl w:val="0"/>
                <w:numId w:val="15"/>
              </w:numPr>
              <w:jc w:val="left"/>
            </w:pPr>
            <w:r>
              <w:t>Betriebssystem-Version</w:t>
            </w:r>
          </w:p>
        </w:tc>
      </w:tr>
      <w:tr>
        <w:tblPrEx>
          <w:tblW w:w="5000" w:type="pct"/>
          <w:jc w:val="left"/>
        </w:tblPrEx>
        <w:trPr>
          <w:divId w:val="140"/>
          <w:trHeight w:val="180"/>
          <w:jc w:val="left"/>
        </w:trPr>
        <w:tc>
          <w:tcPr>
            <w:tcW w:w="300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Client-Attestation</w:t>
            </w:r>
          </w:p>
        </w:tc>
        <w:tc>
          <w:tcPr>
            <w:tcW w:w="79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Falls die Plattform die Attestation des Clients ermöglicht, wird hier plattformspezifische Attestation angegeben.</w:t>
            </w:r>
          </w:p>
          <w:p>
            <w:pPr>
              <w:pStyle w:val="ListParagraph"/>
              <w:numPr>
                <w:ilvl w:val="0"/>
                <w:numId w:val="16"/>
              </w:numPr>
              <w:jc w:val="left"/>
            </w:pPr>
            <w:r>
              <w:t>Android: Key ID Attestation</w:t>
            </w:r>
          </w:p>
          <w:p>
            <w:pPr>
              <w:pStyle w:val="ListParagraph"/>
              <w:numPr>
                <w:ilvl w:val="0"/>
                <w:numId w:val="16"/>
              </w:numPr>
              <w:jc w:val="left"/>
            </w:pPr>
            <w:r>
              <w:t>Apple: DCAppAttest</w:t>
            </w:r>
          </w:p>
          <w:p>
            <w:pPr>
              <w:pStyle w:val="ListParagraph"/>
              <w:numPr>
                <w:ilvl w:val="0"/>
                <w:numId w:val="16"/>
              </w:numPr>
              <w:jc w:val="left"/>
            </w:pPr>
            <w:r>
              <w:t>Software: keine Attestation, nur Nutzer-Bindung</w:t>
            </w:r>
          </w:p>
        </w:tc>
      </w:tr>
    </w:tbl>
    <w:p>
      <w:pPr>
        <w:divId w:val="141"/>
      </w:pPr>
      <w:r>
        <w:t>​​</w:t>
      </w:r>
    </w:p>
    <w:p>
      <w:pPr>
        <w:divId w:val="142"/>
      </w:pPr>
      <w:r>
        <w:t>Die Auskünfte bzw. Attestation von Clientsoftware und Geräten werden von einer Backendschnittstelle für die Clientregistrierung geprüft. Zusätzlich wird über diese Schnittstelle eine Offband-Verifikation des Benutzers durchgeführt, beispielsweise über Bestätigungscode oder -link via E-Mail. Ist die Clientregistrierung erfolgreich, wird der Client-Instanz(!) ein Nachweis über die attestierten Client- und Client-Instanz-Eigenschaften ausgestellt. Dieser Nachweis ist in folgenden Aufrufen von Schnittstellen der TI Teil der Zugangsprüfung.</w:t>
      </w:r>
    </w:p>
    <w:p>
      <w:pPr>
        <w:divId w:val="143"/>
      </w:pPr>
      <w:r>
        <w:t>Die Geräteattribute werden von den Plattformen der Endgeräte geliefert. Ihre </w:t>
      </w:r>
      <w:r>
        <w:rPr>
          <w:color w:val="172B4D"/>
          <w:sz w:val="20"/>
          <w:szCs w:val="20"/>
        </w:rPr>
        <w:t>Erhebung erfolgt im TrustClient des Endgeräts mittels plattforms</w:t>
      </w:r>
      <w:r>
        <w:t>pezifischer Attestierungs- und Erhebungsmechanismen (siehe [Apple Platform Security Guide] und [Android Platform Security Model]). Die A</w:t>
      </w:r>
      <w:r>
        <w:rPr>
          <w:color w:val="172B4D"/>
          <w:sz w:val="20"/>
          <w:szCs w:val="20"/>
        </w:rPr>
        <w:t>ttribute sind daher</w:t>
      </w:r>
      <w:r>
        <w:t xml:space="preserve"> für die jeweilige Plattform und ihr Sicherheitsmodell spezifisch. Die für die Zugriffsentscheidung verwendeten Attribute werden daher im Folgenden für iOS-Geräte separat von denen für Android-Geräte aufgeführt.</w:t>
      </w:r>
    </w:p>
    <w:p>
      <w:pPr>
        <w:divId w:val="144"/>
      </w:pPr>
      <w:r>
        <w:rPr>
          <w:b/>
        </w:rPr>
        <w:t>Android</w:t>
      </w:r>
    </w:p>
    <w:p>
      <w:pPr>
        <w:pStyle w:val="Caption"/>
      </w:pPr>
      <w:bookmarkStart w:id="61" w:name="_Toc256000091"/>
      <w:r>
        <w:t xml:space="preserve">Tabelle </w:t>
      </w:r>
      <w:r>
        <w:fldChar w:fldCharType="begin"/>
      </w:r>
      <w:r>
        <w:instrText xml:space="preserve"> SEQ Tabelle \* ARABIC </w:instrText>
      </w:r>
      <w:r>
        <w:fldChar w:fldCharType="separate"/>
      </w:r>
      <w:r>
        <w:t>3</w:t>
      </w:r>
      <w:r>
        <w:fldChar w:fldCharType="end"/>
      </w:r>
      <w:r>
        <w:t xml:space="preserve">: Verwendete Device </w:t>
      </w:r>
      <w:r>
        <w:commentReference w:id="62"/>
      </w:r>
      <w:r>
        <w:t xml:space="preserve"> Claims für Android-Geräte</w:t>
      </w:r>
      <w:bookmarkEnd w:id="61"/>
    </w:p>
    <w:tbl>
      <w:tblPr>
        <w:tblStyle w:val="PolarionTableNormal"/>
        <w:tblW w:w="5000" w:type="pct"/>
        <w:jc w:val="left"/>
        <w:tblBorders>
          <w:top w:val="single" w:sz="8" w:space="0" w:color="CCCCCC"/>
          <w:left w:val="single" w:sz="8" w:space="0" w:color="CCCCCC"/>
          <w:bottom w:val="single" w:sz="8" w:space="0" w:color="CCCCCC"/>
          <w:right w:val="single" w:sz="8" w:space="0" w:color="CCCCCC"/>
        </w:tblBorders>
      </w:tblPr>
      <w:tblGrid>
        <w:gridCol w:w="2771"/>
        <w:gridCol w:w="6449"/>
      </w:tblGrid>
      <w:tr>
        <w:tblPrEx>
          <w:tblW w:w="5000" w:type="pct"/>
          <w:jc w:val="left"/>
          <w:tblBorders>
            <w:top w:val="single" w:sz="8" w:space="0" w:color="CCCCCC"/>
            <w:left w:val="single" w:sz="8" w:space="0" w:color="CCCCCC"/>
            <w:bottom w:val="single" w:sz="8" w:space="0" w:color="CCCCCC"/>
            <w:right w:val="single" w:sz="8" w:space="0" w:color="CCCCCC"/>
          </w:tblBorders>
        </w:tblPrEx>
        <w:trPr>
          <w:divId w:val="145"/>
          <w:trHeight w:val="285"/>
          <w:jc w:val="left"/>
        </w:trPr>
        <w:tc>
          <w:tcPr>
            <w:tcW w:w="3000"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b/>
              </w:rPr>
              <w:t>Attribute</w:t>
            </w:r>
          </w:p>
        </w:tc>
        <w:tc>
          <w:tcPr>
            <w:tcW w:w="7695"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b/>
              </w:rPr>
              <w:t>Beschreibung</w:t>
            </w:r>
          </w:p>
        </w:tc>
      </w:tr>
      <w:tr>
        <w:tblPrEx>
          <w:tblW w:w="5000" w:type="pct"/>
          <w:jc w:val="left"/>
        </w:tblPrEx>
        <w:trPr>
          <w:divId w:val="145"/>
          <w:trHeight w:val="285"/>
          <w:jc w:val="left"/>
        </w:trPr>
        <w:tc>
          <w:tcPr>
            <w:tcW w:w="300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b/>
              </w:rPr>
              <w:t>aktuelle Android Version</w:t>
            </w:r>
          </w:p>
        </w:tc>
        <w:tc>
          <w:tcPr>
            <w:tcW w:w="769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aktuell auf dem Gerät laufende Android Version bzw. API Level / SDK Version</w:t>
            </w:r>
          </w:p>
        </w:tc>
      </w:tr>
      <w:tr>
        <w:tblPrEx>
          <w:tblW w:w="5000" w:type="pct"/>
          <w:jc w:val="left"/>
        </w:tblPrEx>
        <w:trPr>
          <w:divId w:val="145"/>
          <w:trHeight w:val="585"/>
          <w:jc w:val="left"/>
        </w:trPr>
        <w:tc>
          <w:tcPr>
            <w:tcW w:w="300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b/>
              </w:rPr>
              <w:t>Android Version bei Veröffentlichung</w:t>
            </w:r>
          </w:p>
        </w:tc>
        <w:tc>
          <w:tcPr>
            <w:tcW w:w="769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Android Version (API level) mit welchem das Gerät veröffentlicht / CTS durchlief</w:t>
            </w:r>
          </w:p>
        </w:tc>
      </w:tr>
      <w:tr>
        <w:tblPrEx>
          <w:tblW w:w="5000" w:type="pct"/>
          <w:jc w:val="left"/>
        </w:tblPrEx>
        <w:trPr>
          <w:divId w:val="145"/>
          <w:trHeight w:val="285"/>
          <w:jc w:val="left"/>
        </w:trPr>
        <w:tc>
          <w:tcPr>
            <w:tcW w:w="300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b/>
              </w:rPr>
              <w:t>Patchlevel</w:t>
            </w:r>
          </w:p>
        </w:tc>
        <w:tc>
          <w:tcPr>
            <w:tcW w:w="769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Verschiedene Patch-Level-Angaben für OS &amp; Co</w:t>
            </w:r>
          </w:p>
        </w:tc>
      </w:tr>
      <w:tr>
        <w:tblPrEx>
          <w:tblW w:w="5000" w:type="pct"/>
          <w:jc w:val="left"/>
        </w:tblPrEx>
        <w:trPr>
          <w:divId w:val="145"/>
          <w:trHeight w:val="285"/>
          <w:jc w:val="left"/>
        </w:trPr>
        <w:tc>
          <w:tcPr>
            <w:tcW w:w="300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b/>
              </w:rPr>
              <w:t>FDE / FBE</w:t>
            </w:r>
          </w:p>
        </w:tc>
        <w:tc>
          <w:tcPr>
            <w:tcW w:w="769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Gibt an, ob Geräteverschlüsselung unterstützt wird und ob diese aktiviert ist.</w:t>
            </w:r>
          </w:p>
        </w:tc>
      </w:tr>
      <w:tr>
        <w:tblPrEx>
          <w:tblW w:w="5000" w:type="pct"/>
          <w:jc w:val="left"/>
        </w:tblPrEx>
        <w:trPr>
          <w:divId w:val="145"/>
          <w:trHeight w:val="585"/>
          <w:jc w:val="left"/>
        </w:trPr>
        <w:tc>
          <w:tcPr>
            <w:tcW w:w="300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b/>
              </w:rPr>
              <w:t>System PIN / Password /Pattern gesetzt</w:t>
            </w:r>
            <w:r>
              <w:rPr>
                <w:b/>
              </w:rPr>
              <w:br/>
            </w:r>
          </w:p>
        </w:tc>
        <w:tc>
          <w:tcPr>
            <w:tcW w:w="769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Gibt an, ob ein PIN/Pattern/Passwort für den Sperrbildschirm gesetzt ist.</w:t>
            </w:r>
          </w:p>
        </w:tc>
      </w:tr>
      <w:tr>
        <w:tblPrEx>
          <w:tblW w:w="5000" w:type="pct"/>
          <w:jc w:val="left"/>
        </w:tblPrEx>
        <w:trPr>
          <w:divId w:val="145"/>
          <w:trHeight w:val="585"/>
          <w:jc w:val="left"/>
        </w:trPr>
        <w:tc>
          <w:tcPr>
            <w:tcW w:w="300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b/>
              </w:rPr>
              <w:t>System PIN / Password /Pattern Qualität</w:t>
            </w:r>
          </w:p>
        </w:tc>
        <w:tc>
          <w:tcPr>
            <w:tcW w:w="769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Über den Device Policy Manger kann abgefragt werden, ob aktuell bestimmte Passwort-Komplexitätslevel erfüllt werden.</w:t>
            </w:r>
          </w:p>
        </w:tc>
      </w:tr>
      <w:tr>
        <w:tblPrEx>
          <w:tblW w:w="5000" w:type="pct"/>
          <w:jc w:val="left"/>
        </w:tblPrEx>
        <w:trPr>
          <w:divId w:val="145"/>
          <w:trHeight w:val="285"/>
          <w:jc w:val="left"/>
        </w:trPr>
        <w:tc>
          <w:tcPr>
            <w:tcW w:w="300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b/>
              </w:rPr>
              <w:t>VerifiedBoot verfügbar</w:t>
            </w:r>
          </w:p>
        </w:tc>
        <w:tc>
          <w:tcPr>
            <w:tcW w:w="769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Gibt an, ob VerifiedBoot auf dem Gerät zur Verfügung steht (siehe [VerifiedBoot]).</w:t>
            </w:r>
          </w:p>
        </w:tc>
      </w:tr>
      <w:tr>
        <w:tblPrEx>
          <w:tblW w:w="5000" w:type="pct"/>
          <w:jc w:val="left"/>
        </w:tblPrEx>
        <w:trPr>
          <w:divId w:val="145"/>
          <w:trHeight w:val="285"/>
          <w:jc w:val="left"/>
        </w:trPr>
        <w:tc>
          <w:tcPr>
            <w:tcW w:w="300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b/>
              </w:rPr>
              <w:t>Mainline Patchlevel</w:t>
            </w:r>
          </w:p>
        </w:tc>
        <w:tc>
          <w:tcPr>
            <w:tcW w:w="769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Gibt an, wann der letzte Mainline Patch installiert wurde.</w:t>
            </w:r>
          </w:p>
        </w:tc>
      </w:tr>
      <w:tr>
        <w:tblPrEx>
          <w:tblW w:w="5000" w:type="pct"/>
          <w:jc w:val="left"/>
        </w:tblPrEx>
        <w:trPr>
          <w:divId w:val="145"/>
          <w:trHeight w:val="285"/>
          <w:jc w:val="left"/>
        </w:trPr>
        <w:tc>
          <w:tcPr>
            <w:tcW w:w="300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b/>
              </w:rPr>
              <w:t>Gerätehersteller / -modell</w:t>
            </w:r>
          </w:p>
        </w:tc>
        <w:tc>
          <w:tcPr>
            <w:tcW w:w="769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Gibt Informationen zu Hersteller, Model usw. zurück.</w:t>
            </w:r>
          </w:p>
        </w:tc>
      </w:tr>
      <w:tr>
        <w:tblPrEx>
          <w:tblW w:w="5000" w:type="pct"/>
          <w:jc w:val="left"/>
        </w:tblPrEx>
        <w:trPr>
          <w:divId w:val="145"/>
          <w:trHeight w:val="285"/>
          <w:jc w:val="left"/>
        </w:trPr>
        <w:tc>
          <w:tcPr>
            <w:tcW w:w="300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b/>
              </w:rPr>
              <w:t>Biometric Class</w:t>
            </w:r>
          </w:p>
        </w:tc>
        <w:tc>
          <w:tcPr>
            <w:tcW w:w="769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Gibt Informationen zur Güte der vorhandenen biometrischen Sensoren zurück.</w:t>
            </w:r>
          </w:p>
        </w:tc>
      </w:tr>
    </w:tbl>
    <w:p>
      <w:pPr>
        <w:pStyle w:val="Caption"/>
        <w:jc w:val="left"/>
      </w:pPr>
      <w:r>
        <w:t>​​</w:t>
      </w:r>
    </w:p>
    <w:p>
      <w:pPr>
        <w:divId w:val="146"/>
      </w:pPr>
      <w:r>
        <w:rPr>
          <w:b/>
        </w:rPr>
        <w:t>iOS</w:t>
      </w:r>
    </w:p>
    <w:p>
      <w:pPr>
        <w:pStyle w:val="Caption"/>
        <w:keepNext/>
      </w:pPr>
      <w:bookmarkStart w:id="63" w:name="_Toc256000092"/>
      <w:r>
        <w:t xml:space="preserve">Tabelle </w:t>
      </w:r>
      <w:r>
        <w:fldChar w:fldCharType="begin"/>
      </w:r>
      <w:r>
        <w:instrText xml:space="preserve"> SEQ Tabelle \* ARABIC </w:instrText>
      </w:r>
      <w:r>
        <w:fldChar w:fldCharType="separate"/>
      </w:r>
      <w:r>
        <w:t>4</w:t>
      </w:r>
      <w:r>
        <w:fldChar w:fldCharType="end"/>
      </w:r>
      <w:r>
        <w:t xml:space="preserve">: Verwendete </w:t>
      </w:r>
      <w:r>
        <w:commentReference w:id="64"/>
      </w:r>
      <w:r>
        <w:t xml:space="preserve"> Device Claims für iOS-Geräte</w:t>
      </w:r>
      <w:bookmarkEnd w:id="63"/>
    </w:p>
    <w:tbl>
      <w:tblPr>
        <w:tblStyle w:val="PolarionTableNormal"/>
        <w:tblW w:w="5000" w:type="pct"/>
        <w:jc w:val="left"/>
        <w:tblBorders>
          <w:top w:val="single" w:sz="8" w:space="0" w:color="CCCCCC"/>
          <w:left w:val="single" w:sz="8" w:space="0" w:color="CCCCCC"/>
          <w:bottom w:val="single" w:sz="8" w:space="0" w:color="CCCCCC"/>
          <w:right w:val="single" w:sz="8" w:space="0" w:color="CCCCCC"/>
        </w:tblBorders>
      </w:tblPr>
      <w:tblGrid>
        <w:gridCol w:w="2733"/>
        <w:gridCol w:w="6487"/>
      </w:tblGrid>
      <w:tr>
        <w:tblPrEx>
          <w:tblW w:w="5000" w:type="pct"/>
          <w:jc w:val="left"/>
          <w:tblBorders>
            <w:top w:val="single" w:sz="8" w:space="0" w:color="CCCCCC"/>
            <w:left w:val="single" w:sz="8" w:space="0" w:color="CCCCCC"/>
            <w:bottom w:val="single" w:sz="8" w:space="0" w:color="CCCCCC"/>
            <w:right w:val="single" w:sz="8" w:space="0" w:color="CCCCCC"/>
          </w:tblBorders>
        </w:tblPrEx>
        <w:trPr>
          <w:divId w:val="147"/>
          <w:trHeight w:val="330"/>
          <w:jc w:val="left"/>
        </w:trPr>
        <w:tc>
          <w:tcPr>
            <w:tcW w:w="2865"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b/>
                <w:sz w:val="20"/>
                <w:szCs w:val="20"/>
              </w:rPr>
              <w:t>Attribute</w:t>
            </w:r>
            <w:r>
              <w:rPr>
                <w:b/>
              </w:rPr>
              <w:br/>
            </w:r>
          </w:p>
        </w:tc>
        <w:tc>
          <w:tcPr>
            <w:tcW w:w="8505"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b/>
                <w:sz w:val="20"/>
                <w:szCs w:val="20"/>
              </w:rPr>
              <w:t>Description</w:t>
            </w:r>
            <w:r>
              <w:rPr>
                <w:b/>
              </w:rPr>
              <w:br/>
            </w:r>
          </w:p>
        </w:tc>
      </w:tr>
      <w:tr>
        <w:tblPrEx>
          <w:tblW w:w="5000" w:type="pct"/>
          <w:jc w:val="left"/>
        </w:tblPrEx>
        <w:trPr>
          <w:divId w:val="147"/>
          <w:trHeight w:val="285"/>
          <w:jc w:val="left"/>
        </w:trPr>
        <w:tc>
          <w:tcPr>
            <w:tcW w:w="25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sz w:val="20"/>
                <w:szCs w:val="20"/>
              </w:rPr>
              <w:t>System Name</w:t>
            </w:r>
          </w:p>
        </w:tc>
        <w:tc>
          <w:tcPr>
            <w:tcW w:w="820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sz w:val="20"/>
                <w:szCs w:val="20"/>
              </w:rPr>
              <w:t>Name des Betriebssystems auf dem Gerät</w:t>
            </w:r>
          </w:p>
        </w:tc>
      </w:tr>
      <w:tr>
        <w:tblPrEx>
          <w:tblW w:w="5000" w:type="pct"/>
          <w:jc w:val="left"/>
        </w:tblPrEx>
        <w:trPr>
          <w:divId w:val="147"/>
          <w:trHeight w:val="285"/>
          <w:jc w:val="left"/>
        </w:trPr>
        <w:tc>
          <w:tcPr>
            <w:tcW w:w="25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sz w:val="20"/>
                <w:szCs w:val="20"/>
              </w:rPr>
              <w:t>System Version</w:t>
            </w:r>
          </w:p>
        </w:tc>
        <w:tc>
          <w:tcPr>
            <w:tcW w:w="820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sz w:val="20"/>
                <w:szCs w:val="20"/>
              </w:rPr>
              <w:t>Version des Betriebssystems auf dem Gerät</w:t>
            </w:r>
            <w:r>
              <w:br/>
            </w:r>
          </w:p>
        </w:tc>
      </w:tr>
      <w:tr>
        <w:tblPrEx>
          <w:tblW w:w="5000" w:type="pct"/>
          <w:jc w:val="left"/>
        </w:tblPrEx>
        <w:trPr>
          <w:divId w:val="147"/>
          <w:trHeight w:val="285"/>
          <w:jc w:val="left"/>
        </w:trPr>
        <w:tc>
          <w:tcPr>
            <w:tcW w:w="25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sz w:val="20"/>
                <w:szCs w:val="20"/>
              </w:rPr>
              <w:t>Model</w:t>
            </w:r>
          </w:p>
        </w:tc>
        <w:tc>
          <w:tcPr>
            <w:tcW w:w="820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sz w:val="20"/>
                <w:szCs w:val="20"/>
              </w:rPr>
              <w:t>Art des Geräts, z. B. ”iPhone” oder”iPod touch”</w:t>
            </w:r>
            <w:r>
              <w:br/>
            </w:r>
          </w:p>
        </w:tc>
      </w:tr>
      <w:tr>
        <w:tblPrEx>
          <w:tblW w:w="5000" w:type="pct"/>
          <w:jc w:val="left"/>
        </w:tblPrEx>
        <w:trPr>
          <w:divId w:val="147"/>
          <w:trHeight w:val="285"/>
          <w:jc w:val="left"/>
        </w:trPr>
        <w:tc>
          <w:tcPr>
            <w:tcW w:w="25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sz w:val="20"/>
                <w:szCs w:val="20"/>
              </w:rPr>
              <w:t>identifierForVendor</w:t>
            </w:r>
          </w:p>
        </w:tc>
        <w:tc>
          <w:tcPr>
            <w:tcW w:w="820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sz w:val="20"/>
                <w:szCs w:val="20"/>
              </w:rPr>
              <w:t>Eindeutige Kennung des Geräts für den App-Anbieter</w:t>
            </w:r>
            <w:r>
              <w:br/>
            </w:r>
          </w:p>
        </w:tc>
      </w:tr>
      <w:tr>
        <w:tblPrEx>
          <w:tblW w:w="5000" w:type="pct"/>
          <w:jc w:val="left"/>
        </w:tblPrEx>
        <w:trPr>
          <w:divId w:val="147"/>
          <w:trHeight w:val="285"/>
          <w:jc w:val="left"/>
        </w:trPr>
        <w:tc>
          <w:tcPr>
            <w:tcW w:w="25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sz w:val="20"/>
                <w:szCs w:val="20"/>
              </w:rPr>
              <w:t>App Version</w:t>
            </w:r>
          </w:p>
        </w:tc>
        <w:tc>
          <w:tcPr>
            <w:tcW w:w="820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sz w:val="20"/>
                <w:szCs w:val="20"/>
              </w:rPr>
              <w:t>Version der App auf dem Gerät</w:t>
            </w:r>
          </w:p>
        </w:tc>
      </w:tr>
    </w:tbl>
    <w:p>
      <w:pPr>
        <w:pStyle w:val="Heading2"/>
        <w:divId w:val="148"/>
      </w:pPr>
      <w:bookmarkStart w:id="65" w:name="_Toc256000033"/>
      <w:r>
        <w:t>Monitoring</w:t>
      </w:r>
      <w:bookmarkEnd w:id="65"/>
    </w:p>
    <w:p>
      <w:pPr>
        <w:divId w:val="149"/>
      </w:pPr>
      <w:r>
        <w:rPr>
          <w:shd w:val="clear" w:color="auto" w:fill="FFFFFF"/>
        </w:rPr>
        <w:t>Das Monitoring im Kontext von Zero Trust ist ein entscheidender Aspekt, um die Sicherheit des Netzwerks und der Ressourcen kontinuierlich zu überwachen und potenzielle Bedrohungen oder Anomalien zu identifizieren. Dieses bedient sich auch eines</w:t>
      </w:r>
      <w:r>
        <w:t xml:space="preserve"> Security Information and Event Management</w:t>
      </w:r>
      <w:r>
        <w:rPr>
          <w:shd w:val="clear" w:color="auto" w:fill="FFFFFF"/>
        </w:rPr>
        <w:t>(SIEM) und Shared Signals, die zukünftige Policyentscheidungen beeinflussen, in dem Erkenntnisse des Monitorings über den Policy Information Point den Policy Decision Points der verschiedenen Fachanwendungen verfügbar gemacht werden.</w:t>
      </w:r>
    </w:p>
    <w:p>
      <w:pPr>
        <w:divId w:val="150"/>
      </w:pPr>
      <w:r>
        <w:rPr>
          <w:shd w:val="clear" w:color="auto" w:fill="FFFFFF"/>
        </w:rPr>
        <w:t>Insgesamt ermöglicht das Monitoring im Kontext von Zero Trust eine kontinuierliche Überwachung der Sicherheitslage, indem es aktuelle Sicherheitsrichtlinien berücksichtigt, potenzielle Bedrohungen identifiziert und auf Shared Signals zurückgreift, um umfassende Sicherheitseinblicke zu erhalten.</w:t>
      </w:r>
    </w:p>
    <w:p>
      <w:pPr>
        <w:pStyle w:val="Heading3"/>
        <w:divId w:val="151"/>
      </w:pPr>
      <w:bookmarkStart w:id="66" w:name="_Toc256000034"/>
      <w:r>
        <w:t>Security Information and Event Management (SIEM):</w:t>
      </w:r>
      <w:bookmarkEnd w:id="66"/>
    </w:p>
    <w:p>
      <w:pPr>
        <w:divId w:val="152"/>
      </w:pPr>
      <w:r>
        <w:t>SIEM-Systeme spielen eine zentrale Rolle im Monitoring im Zero Trust-Paradigma. Sie sammeln Daten aus verschiedenen Quellen wie Protokollen, Ereignissen und Alarmen von Sicherheitskomponenten im Netzwerk. Durch die Analyse dieser Daten in Echtzeit können SIEM-Systeme potenzielle Sicherheitsvorfälle erkennen und Anomalien identifizieren. SIEM-Systeme können auf die vom PIP bereitgestellten Sicherheitsrichtlinien zugreifen und sicherstellen, dass die Überwachung entsprechend den aktuellen Richtlinien erfolgt. Anbieter von Betriebsleistungen mittels Produkttypen der TI (1.0) erhalten durch eine Anbieterzulassung die Auflage, Anforderungen an ein [ISMS] zu erfüllen. Hierfür können sie bspw. SIEM-Systeme oder Intrusion Detection Systeme (IDS) verwenden. In der Weiterentwicklung zur TI 2.0 wird dieses Konzept fortgeführt, und finden die so gesammelten Informationen über den Sicherheitszustand eines Systems wieder Eingang in Zugriffsentscheidungen eines Policy Decision Points.</w:t>
      </w:r>
    </w:p>
    <w:p>
      <w:pPr>
        <w:pStyle w:val="Heading3"/>
        <w:divId w:val="153"/>
      </w:pPr>
      <w:bookmarkStart w:id="67" w:name="_Toc256000035"/>
      <w:r>
        <w:t>Shared Signals</w:t>
      </w:r>
      <w:bookmarkEnd w:id="67"/>
    </w:p>
    <w:p>
      <w:pPr>
        <w:divId w:val="154"/>
      </w:pPr>
      <w:r>
        <w:t xml:space="preserve">Shared Signals </w:t>
      </w:r>
      <w:r>
        <w:commentReference w:id="68"/>
      </w:r>
      <w:r>
        <w:t xml:space="preserve"> sind Hinweise oder Indikatoren für Sicherheitsvorfälle, die von verschiedenen Systemen und Quellen im Netzwerk gemeinsam genutzt werden. Diese Signale können von verschiedenen Sicherheitskomponenten wie Firewalls, Endpunktschutzsystemen, Intrusion Detection Systems (IDS) und anderen generiert werden.</w:t>
      </w:r>
    </w:p>
    <w:p>
      <w:pPr>
        <w:divId w:val="155"/>
      </w:pPr>
      <w:r>
        <w:t>SIEM-Systeme aggregieren und korrelieren diese Signale, um umfassende Einblicke in die Sicherheitslage des Netzwerks zu erhalten und potenzielle Bedrohungen zu identifizieren. Durch die Integration von Shared Signals in das Monitoring kann eine umfassende und ganzheitliche Sicherheitsüberwachung gewährleistet werden, die potenzielle Angriffe frühzeitig erkennt und darauf reagiert.</w:t>
      </w:r>
    </w:p>
    <w:p>
      <w:pPr>
        <w:pStyle w:val="Heading3"/>
        <w:divId w:val="156"/>
      </w:pPr>
      <w:bookmarkStart w:id="69" w:name="_Toc256000036"/>
      <w:r>
        <w:t>Telemetrie, Monitoring und Logging</w:t>
      </w:r>
      <w:bookmarkEnd w:id="69"/>
    </w:p>
    <w:p>
      <w:pPr>
        <w:divId w:val="157"/>
      </w:pPr>
      <w:r>
        <w:t xml:space="preserve">Betriebliche Daten zum Zwecke des Monitorings (Telemetrie) werden von den Zero Trust Komponenten erhoben und für die eingesetzten Zero Trust Komponenten übergreifend in einer gesicherten Monitoring-Komponente erfasst. Bei der Nachbereitung der Telemetriedaten werden personenbezogene oder-beziehbare Daten anonymisiert, um diese bereinigten Daten dem Betreiber regelhaft zugänglich zu machen. Das bereinigte Monitoring-Log kann von dem Betreiber für sein eigenes betriebliches Monitoring und als Quelle für sein SIEM-System verwendet werden. Das bereinigte Monitoring-Log wird unter Anderem zur Generierung von Rohdatenlieferungen und Bestandsdaten für die gematik benutzt.  </w:t>
      </w:r>
      <w:r>
        <w:commentReference w:id="70"/>
      </w:r>
    </w:p>
    <w:p>
      <w:pPr>
        <w:pStyle w:val="Heading2"/>
        <w:divId w:val="158"/>
      </w:pPr>
      <w:bookmarkStart w:id="71" w:name="_Toc256000037"/>
      <w:r>
        <w:t>Zusammenspiel mit IdP</w:t>
      </w:r>
      <w:bookmarkEnd w:id="71"/>
    </w:p>
    <w:p>
      <w:pPr>
        <w:divId w:val="159"/>
      </w:pPr>
      <w:r>
        <w:t>Im Zero Trust-Paradigm</w:t>
      </w:r>
      <w:r>
        <w:rPr>
          <w:shd w:val="clear" w:color="auto" w:fill="FFFFFF"/>
        </w:rPr>
        <w:t>a arbeiten der PEP und der IdP zusammen, um den Zugriff auf Ressourcen - basierend auf den definierten Sicherheitsrichtlinien und der Benutzeridentität - zu kontrollieren. Das Stichwort "Step-up-Authentifizierung" bezieht sich auf eine Sicherheitsmaßnahme, bei der der Benutzer zusätzliche Authentifizierungsschritte durchlaufen muss, um auf sensible Ressourcen zuzugreifen. Diese Maßnahme wird wie folgt realisiert:</w:t>
      </w:r>
    </w:p>
    <w:p>
      <w:pPr>
        <w:pStyle w:val="ListParagraph"/>
        <w:divId w:val="160"/>
        <w:numPr>
          <w:ilvl w:val="0"/>
          <w:numId w:val="17"/>
        </w:numPr>
      </w:pPr>
      <w:r>
        <w:rPr>
          <w:b/>
        </w:rPr>
        <w:t>Zugriffsanfrage des Benutzers</w:t>
      </w:r>
      <w:r>
        <w:t>: Ein Benutzer möchte auf eine geschützte Ressource zugreifen und sendet eine Zugriffsanfrage an den PEP.</w:t>
      </w:r>
    </w:p>
    <w:p>
      <w:pPr>
        <w:pStyle w:val="ListParagraph"/>
        <w:divId w:val="160"/>
        <w:numPr>
          <w:ilvl w:val="0"/>
          <w:numId w:val="17"/>
        </w:numPr>
      </w:pPr>
      <w:r>
        <w:rPr>
          <w:b/>
        </w:rPr>
        <w:t>Überprüfung durch den PEP</w:t>
      </w:r>
      <w:r>
        <w:t xml:space="preserve">: Der PEP empfängt die Zugriffsanfrage und überprüft die http Header-Daten </w:t>
      </w:r>
      <w:r>
        <w:commentReference w:id="72"/>
      </w:r>
      <w:r>
        <w:t>. Dies kann bedeuten, dass der PEP feststellt, dass die Zugriffsanfrage eine höhere Sicherheitsstufe erfordert als die Standardauthentifizierungsmethode des Benutzers. Oder der Authentifizierung wird nicht mehr vertraut, da sie zu weit in der Vergangenheit liegt.</w:t>
      </w:r>
    </w:p>
    <w:p>
      <w:pPr>
        <w:pStyle w:val="ListParagraph"/>
        <w:divId w:val="160"/>
        <w:numPr>
          <w:ilvl w:val="0"/>
          <w:numId w:val="17"/>
        </w:numPr>
      </w:pPr>
      <w:r>
        <w:rPr>
          <w:b/>
        </w:rPr>
        <w:t>Weiterleitung an den IDP</w:t>
      </w:r>
      <w:r>
        <w:t>: Falls eine Step-up-Authentifizierung erforderlich ist, löst der PEP die Zugriffsanfrage an den IDP aus, der für die Authentifizierung des Benutzers zuständig ist.</w:t>
      </w:r>
    </w:p>
    <w:p>
      <w:pPr>
        <w:pStyle w:val="ListParagraph"/>
        <w:divId w:val="160"/>
        <w:numPr>
          <w:ilvl w:val="0"/>
          <w:numId w:val="17"/>
        </w:numPr>
      </w:pPr>
      <w:r>
        <w:rPr>
          <w:b/>
        </w:rPr>
        <w:t>Step-up-Authentifizierung</w:t>
      </w:r>
      <w:r>
        <w:t>: Der IDP erkennt die Anforderung für eine Step-up-Authentifizierung und fordert den Benutzer auf, zusätzliche Authentifizierungsschritte durchzuführen. Dies könnte beispielsweise die Eingabe eines Einmalpassworts, die Verwendung von Biometrie oder die Bestätigung über ein zweites Gerät sein.</w:t>
      </w:r>
    </w:p>
    <w:p>
      <w:pPr>
        <w:pStyle w:val="ListParagraph"/>
        <w:divId w:val="160"/>
        <w:numPr>
          <w:ilvl w:val="0"/>
          <w:numId w:val="17"/>
        </w:numPr>
      </w:pPr>
      <w:r>
        <w:rPr>
          <w:b/>
        </w:rPr>
        <w:t>Authentifizierungsbestätigung</w:t>
      </w:r>
      <w:r>
        <w:t>: Nach erfolgreicher Durchführung der Step-up-Authentifizierung bestätigt der IDP die Identität des Benutzers gegenüber dem PEP.</w:t>
      </w:r>
    </w:p>
    <w:p>
      <w:pPr>
        <w:pStyle w:val="ListParagraph"/>
        <w:divId w:val="160"/>
        <w:numPr>
          <w:ilvl w:val="0"/>
          <w:numId w:val="17"/>
        </w:numPr>
      </w:pPr>
      <w:r>
        <w:rPr>
          <w:b/>
        </w:rPr>
        <w:t>Zugriffsgewährung durch den PEP</w:t>
      </w:r>
      <w:r>
        <w:t>: Der PEP erhält die Authentifizierungsbestätigung vom IDP und gewährt dem Benutzer basierend auf den Sicherheitsrichtlinien Zugriff auf die angeforderte Ressource.</w:t>
      </w:r>
    </w:p>
    <w:p>
      <w:pPr>
        <w:divId w:val="161"/>
        <w:ind w:left="0" w:right="0"/>
      </w:pPr>
      <w:r>
        <w:rPr>
          <w:shd w:val="clear" w:color="auto" w:fill="FFFFFF"/>
        </w:rPr>
        <w:t xml:space="preserve">Das Zusammenspiel zwischen PEP und IDP ermöglicht es, den Zugriff auf sensible Ressourcen - basierend auf der aktuellen Sicherheitslage und der Identität des Benutzers - zu steuern. Die Step-up-Authentifizierung stellt sicher, dass zusätzliche Sicherheitsmaßnahmen - wenn erforderlich - ergriffen werden, um die Integrität und Vertraulichkeit der geschützten Daten zu gewährleisten. </w:t>
      </w:r>
      <w:r>
        <w:rPr>
          <w:shd w:val="clear" w:color="auto" w:fill="FFFFFF"/>
        </w:rPr>
        <w:commentReference w:id="73"/>
      </w:r>
    </w:p>
    <w:p>
      <w:pPr>
        <w:pStyle w:val="Heading2"/>
        <w:divId w:val="162"/>
      </w:pPr>
      <w:bookmarkStart w:id="74" w:name="_Toc256000038"/>
      <w:r>
        <w:t>Fachdienst-Backend</w:t>
      </w:r>
      <w:bookmarkEnd w:id="74"/>
    </w:p>
    <w:p>
      <w:pPr>
        <w:divId w:val="163"/>
      </w:pPr>
      <w:r>
        <w:t>Das Fachdienst-Backend stellt das Ziel jedes Zugriffswunschs eines Nutzers über sein Clientsystem dar. Es stellt fachliche Schnittstellen zur Nutzung durch Clientsysteme dar, die über die Mechanismen des Zero Trust abgesichert werden. </w:t>
      </w:r>
    </w:p>
    <w:p>
      <w:pPr>
        <w:pStyle w:val="Heading1"/>
        <w:divId w:val="164"/>
      </w:pPr>
      <w:bookmarkStart w:id="75" w:name="_Toc256000039"/>
      <w:r>
        <w:t>Spezifikation</w:t>
      </w:r>
      <w:bookmarkEnd w:id="75"/>
    </w:p>
    <w:p>
      <w:pPr>
        <w:divId w:val="165"/>
      </w:pPr>
      <w:r>
        <w:t>Dieses Kapitel beschreibt die technische Umsetzung der beschriebenen Konzepte an die oben eingeführten Komponenten des Zero Trust (Zero Trust-Komponenten) als generische Produkt- und Anbietertypen. Diese Anforderungen finden Anwendung in den Steckbriefen von konkreten Produkt- und Anbietertypen der jeweiligen Fachanwendung und erhalten erst in der dortigen Zuordnung ein konkretes Prüfverfahren.</w:t>
      </w:r>
    </w:p>
    <w:p>
      <w:pPr>
        <w:pStyle w:val="Heading2"/>
        <w:divId w:val="166"/>
      </w:pPr>
      <w:bookmarkStart w:id="76" w:name="_Toc256000040"/>
      <w:r>
        <w:t>Übergreifende Anforderungen für Datenschutz und Sicherheit</w:t>
      </w:r>
      <w:bookmarkEnd w:id="76"/>
    </w:p>
    <w:p>
      <w:pPr>
        <w:spacing w:before="0" w:after="0"/>
      </w:pPr>
      <w:r>
        <w:rPr>
          <w:vanish/>
        </w:rPr>
        <w:t>Mainline_OPB1/ML-152157</w:t>
      </w:r>
      <w:r>
        <w:rPr>
          <w:b/>
        </w:rPr>
        <w:t>A_25400</w:t>
      </w:r>
      <w:r>
        <w:rPr>
          <w:b/>
        </w:rPr>
        <w:t xml:space="preserve"> - </w:t>
      </w:r>
      <w:r>
        <w:rPr>
          <w:b/>
        </w:rPr>
        <w:t>Zero Trust-Komponenten - Umsetzung Sicherer Softwareentwicklungsprozess</w:t>
      </w:r>
    </w:p>
    <w:p>
      <w:r>
        <w:t>Der Hersteller einer Zero Trust-Komponente MUSS einen sicheren Softwareentwicklungsprozess umsetzen (siehe [gemSpec_DS_Hersteller#Kapitel 2.2 Sicherer Softwareentwicklungsprozess]).</w:t>
      </w:r>
      <w:r>
        <w:rPr>
          <w:b/>
        </w:rPr>
        <w:t>[</w:t>
      </w:r>
      <w:r>
        <w:t>&lt;=</w:t>
      </w:r>
      <w:r>
        <w:rPr>
          <w:b/>
        </w:rPr>
        <w:t>]</w:t>
      </w:r>
    </w:p>
    <w:p>
      <w:pPr>
        <w:spacing w:before="0" w:after="0"/>
      </w:pPr>
      <w:r>
        <w:rPr>
          <w:vanish/>
        </w:rPr>
        <w:t>Mainline_OPB1/ML-152182</w:t>
      </w:r>
      <w:r>
        <w:rPr>
          <w:b/>
        </w:rPr>
        <w:t>A_25401</w:t>
      </w:r>
      <w:r>
        <w:rPr>
          <w:b/>
        </w:rPr>
        <w:t xml:space="preserve"> - </w:t>
      </w:r>
      <w:r>
        <w:rPr>
          <w:b/>
        </w:rPr>
        <w:t>Zero Trust-Komponenten - Darstellung der Voraussetzungen für sicheren Betrieb des Produkts im Betriebshandbuch</w:t>
      </w:r>
    </w:p>
    <w:p>
      <w:r>
        <w:t xml:space="preserve">Der Hersteller einer Zero Trust-Komponente MUSS für sein Produkt im dazugehörigen Betriebshandbuch </w:t>
      </w:r>
      <w:r>
        <w:commentReference w:id="77"/>
      </w:r>
      <w:r>
        <w:t xml:space="preserve"> leicht ersichtlich darstellen, welche Voraussetzungen vom Betreiber und der Betriebsumgebung erfüllt werden müssen, damit ein sicherer Betrieb des Produktes gewährleistet werden kann. </w:t>
      </w:r>
      <w:r>
        <w:rPr>
          <w:b/>
        </w:rPr>
        <w:t>[</w:t>
      </w:r>
      <w:r>
        <w:t>&lt;=</w:t>
      </w:r>
      <w:r>
        <w:rPr>
          <w:b/>
        </w:rPr>
        <w:t>]</w:t>
      </w:r>
    </w:p>
    <w:p>
      <w:pPr>
        <w:spacing w:before="0" w:after="0"/>
      </w:pPr>
      <w:r>
        <w:rPr>
          <w:vanish/>
        </w:rPr>
        <w:t>Mainline_OPB1/ML-152180</w:t>
      </w:r>
      <w:r>
        <w:rPr>
          <w:b/>
        </w:rPr>
        <w:t>A_25402</w:t>
      </w:r>
      <w:r>
        <w:rPr>
          <w:b/>
        </w:rPr>
        <w:t xml:space="preserve"> - </w:t>
      </w:r>
      <w:r>
        <w:rPr>
          <w:b/>
        </w:rPr>
        <w:t>Zero Trust-Komponenten - Schutz der transportierten Daten</w:t>
      </w:r>
    </w:p>
    <w:p>
      <w:r>
        <w:t xml:space="preserve">Alle Zero Trust-Komponenten MÜSSEN sicherstellen, dass die Vertraulichkeit und Integrität der transportierten Daten gewährleistet ist. </w:t>
      </w:r>
      <w:r>
        <w:commentReference w:id="78"/>
      </w:r>
      <w:r>
        <w:rPr>
          <w:b/>
        </w:rPr>
        <w:t>[</w:t>
      </w:r>
      <w:r>
        <w:t>&lt;=</w:t>
      </w:r>
      <w:r>
        <w:rPr>
          <w:b/>
        </w:rPr>
        <w:t>]</w:t>
      </w:r>
    </w:p>
    <w:p>
      <w:pPr>
        <w:spacing w:before="0" w:after="0"/>
      </w:pPr>
      <w:r>
        <w:rPr>
          <w:vanish/>
        </w:rPr>
        <w:t>Mainline_OPB1/ML-152181</w:t>
      </w:r>
      <w:r>
        <w:rPr>
          <w:b/>
        </w:rPr>
        <w:t>A_25403</w:t>
      </w:r>
      <w:r>
        <w:rPr>
          <w:b/>
        </w:rPr>
        <w:t xml:space="preserve"> - </w:t>
      </w:r>
      <w:r>
        <w:rPr>
          <w:b/>
        </w:rPr>
        <w:t>Zero Trust-Komponenten - Schutzmaßnahmen gegen die OWASP Top 10 Risiken</w:t>
      </w:r>
    </w:p>
    <w:p>
      <w:r>
        <w:t xml:space="preserve">Alle Zero-Trust-Komponenten MÜSSEN technische Maßnahmen zum Schutz vor </w:t>
      </w:r>
      <w:r>
        <w:t xml:space="preserve">den Risiken in der aktuellen Version der [OWASP-Top-10-Risiken] umsetzen. </w:t>
      </w:r>
      <w:r>
        <w:commentReference w:id="79"/>
      </w:r>
      <w:r>
        <w:rPr>
          <w:b/>
        </w:rPr>
        <w:t>[</w:t>
      </w:r>
      <w:r>
        <w:t>&lt;=</w:t>
      </w:r>
      <w:r>
        <w:rPr>
          <w:b/>
        </w:rPr>
        <w:t>]</w:t>
      </w:r>
    </w:p>
    <w:p>
      <w:pPr>
        <w:spacing w:before="0" w:after="0"/>
      </w:pPr>
      <w:r>
        <w:rPr>
          <w:vanish/>
        </w:rPr>
        <w:t>Mainline_OPB1/ML-152184</w:t>
      </w:r>
      <w:r>
        <w:rPr>
          <w:b/>
        </w:rPr>
        <w:t>A_25404</w:t>
      </w:r>
      <w:r>
        <w:rPr>
          <w:b/>
        </w:rPr>
        <w:t xml:space="preserve"> - </w:t>
      </w:r>
      <w:r>
        <w:rPr>
          <w:b/>
        </w:rPr>
        <w:t>Zero Trust-Komponenten - Angriffe erkennen</w:t>
      </w:r>
    </w:p>
    <w:p>
      <w:r>
        <w:t xml:space="preserve">Alle Zero Trust-Komponenten MÜSSEN Maßnahmen zur Erkennung, Kategorisierung und Protokollierung bzw. Meldung von Angriffen umsetzen. </w:t>
      </w:r>
      <w:r>
        <w:commentReference w:id="80"/>
      </w:r>
      <w:r>
        <w:rPr>
          <w:b/>
        </w:rPr>
        <w:t>[</w:t>
      </w:r>
      <w:r>
        <w:t>&lt;=</w:t>
      </w:r>
      <w:r>
        <w:rPr>
          <w:b/>
        </w:rPr>
        <w:t>]</w:t>
      </w:r>
    </w:p>
    <w:p>
      <w:pPr>
        <w:divId w:val="167"/>
      </w:pPr>
      <w:r>
        <w:rPr>
          <w:i/>
        </w:rPr>
        <w:t>Hinwei</w:t>
      </w:r>
      <w:r>
        <w:rPr>
          <w:i/>
          <w:sz w:val="20"/>
          <w:szCs w:val="20"/>
        </w:rPr>
        <w:t>s: Für die Kategorisieren von Angriffen ist eine Kategorisierung nach "CAPEC: OWASP Related Patterns"[CAPEC OWASP] zu verwenden.</w:t>
      </w:r>
    </w:p>
    <w:p>
      <w:pPr>
        <w:spacing w:before="0" w:after="0"/>
      </w:pPr>
      <w:r>
        <w:rPr>
          <w:vanish/>
        </w:rPr>
        <w:t>Mainline_OPB1/ML-152185</w:t>
      </w:r>
      <w:r>
        <w:rPr>
          <w:b/>
        </w:rPr>
        <w:t>A_25405</w:t>
      </w:r>
      <w:r>
        <w:rPr>
          <w:b/>
        </w:rPr>
        <w:t xml:space="preserve"> - </w:t>
      </w:r>
      <w:r>
        <w:rPr>
          <w:b/>
        </w:rPr>
        <w:t>Zero Trust-Komponenten - Angriffen entgegenwirken</w:t>
      </w:r>
    </w:p>
    <w:p>
      <w:r>
        <w:t>Alle Zero Trust-Komponenten MÜSSEN Maßnahmen zur Schadensreduzierung und -verhinderung von Angriffen umsetzen.</w:t>
      </w:r>
      <w:r>
        <w:rPr>
          <w:b/>
        </w:rPr>
        <w:t>[</w:t>
      </w:r>
      <w:r>
        <w:t>&lt;=</w:t>
      </w:r>
      <w:r>
        <w:rPr>
          <w:b/>
        </w:rPr>
        <w:t>]</w:t>
      </w:r>
    </w:p>
    <w:p>
      <w:pPr>
        <w:spacing w:before="0" w:after="0"/>
      </w:pPr>
      <w:r>
        <w:rPr>
          <w:vanish/>
        </w:rPr>
        <w:t>Mainline_OPB1/ML-152183</w:t>
      </w:r>
      <w:r>
        <w:rPr>
          <w:b/>
        </w:rPr>
        <w:t>A_25406</w:t>
      </w:r>
      <w:r>
        <w:rPr>
          <w:b/>
        </w:rPr>
        <w:t xml:space="preserve"> - </w:t>
      </w:r>
      <w:r>
        <w:rPr>
          <w:b/>
        </w:rPr>
        <w:t>Zero Trust-Komponenten - Eingabe Validierung von Operationen</w:t>
      </w:r>
    </w:p>
    <w:p>
      <w:r>
        <w:t>Alle Zero Trust-Komponenten MÜSSEN sicherstellen, dass alle Daten und Parameter, die über eine API kommuniziert werden, sicherheitstechnisch validiert werden.</w:t>
      </w:r>
      <w:r>
        <w:rPr>
          <w:b/>
        </w:rPr>
        <w:t>[</w:t>
      </w:r>
      <w:r>
        <w:t>&lt;=</w:t>
      </w:r>
      <w:r>
        <w:rPr>
          <w:b/>
        </w:rPr>
        <w:t>]</w:t>
      </w:r>
    </w:p>
    <w:p>
      <w:pPr>
        <w:divId w:val="168"/>
      </w:pPr>
      <w:r>
        <w:rPr>
          <w:i/>
        </w:rPr>
        <w:t>Hinweis: Eine Eingabe-Validierung von Fachdienst APIs erfolgt im Fachdienst und nicht in den Zero Trust-Komponenten. </w:t>
      </w:r>
    </w:p>
    <w:p>
      <w:pPr>
        <w:spacing w:before="0" w:after="0"/>
      </w:pPr>
      <w:r>
        <w:rPr>
          <w:vanish/>
        </w:rPr>
        <w:t>Mainline_OPB1/ML-152189</w:t>
      </w:r>
      <w:r>
        <w:rPr>
          <w:b/>
        </w:rPr>
        <w:t>A_25407</w:t>
      </w:r>
      <w:r>
        <w:rPr>
          <w:b/>
        </w:rPr>
        <w:t xml:space="preserve"> - </w:t>
      </w:r>
      <w:r>
        <w:rPr>
          <w:b/>
        </w:rPr>
        <w:t>Zero Trust-Komponenten - Sicherheitstechnische Validierung von Policy und Konfigurationen</w:t>
      </w:r>
    </w:p>
    <w:p>
      <w:r>
        <w:t>Alle Zero Trust-Komponenten MÜSSEN sicherstellen, dass alle Daten und Parameter, die von einer Konfigurationsdatei oder Policy gelesen werden, sicherheitstechnisch validiert werden.</w:t>
      </w:r>
      <w:r>
        <w:rPr>
          <w:b/>
        </w:rPr>
        <w:t>[</w:t>
      </w:r>
      <w:r>
        <w:t>&lt;=</w:t>
      </w:r>
      <w:r>
        <w:rPr>
          <w:b/>
        </w:rPr>
        <w:t>]</w:t>
      </w:r>
    </w:p>
    <w:p>
      <w:pPr>
        <w:spacing w:before="0" w:after="0"/>
      </w:pPr>
      <w:r>
        <w:rPr>
          <w:vanish/>
        </w:rPr>
        <w:t>Mainline_OPB1/ML-152187</w:t>
      </w:r>
      <w:r>
        <w:rPr>
          <w:b/>
        </w:rPr>
        <w:t>A_25408</w:t>
      </w:r>
      <w:r>
        <w:rPr>
          <w:b/>
        </w:rPr>
        <w:t xml:space="preserve"> - </w:t>
      </w:r>
      <w:r>
        <w:rPr>
          <w:b/>
        </w:rPr>
        <w:t>Zero Trust-Komponenten - Verbot unbefugter Profilbildung</w:t>
      </w:r>
    </w:p>
    <w:p>
      <w:r>
        <w:t>Der Betreiber einer Zero Trust-Komponente DARF anfallende Zero Trust-Verbindungsdaten (Client Eigenschaften, Client-IP-Adresse etc.) NICHT für eine unbefugte Profilbildung der verbundenen Clients bzw. ihrer Nutzer verwenden.</w:t>
      </w:r>
      <w:r>
        <w:br/>
      </w:r>
      <w:r>
        <w:t>​​</w:t>
      </w:r>
      <w:r>
        <w:rPr>
          <w:b/>
        </w:rPr>
        <w:t>[</w:t>
      </w:r>
      <w:r>
        <w:t>&lt;=</w:t>
      </w:r>
      <w:r>
        <w:rPr>
          <w:b/>
        </w:rPr>
        <w:t>]</w:t>
      </w:r>
    </w:p>
    <w:p>
      <w:pPr>
        <w:spacing w:before="0" w:after="0"/>
      </w:pPr>
      <w:r>
        <w:rPr>
          <w:vanish/>
        </w:rPr>
        <w:t>Mainline_OPB1/ML-152188</w:t>
      </w:r>
      <w:r>
        <w:rPr>
          <w:b/>
        </w:rPr>
        <w:t>A_25409</w:t>
      </w:r>
      <w:r>
        <w:rPr>
          <w:b/>
        </w:rPr>
        <w:t xml:space="preserve"> - </w:t>
      </w:r>
      <w:r>
        <w:rPr>
          <w:b/>
        </w:rPr>
        <w:t>Zero Trust-Komponenten - Privacy by Design</w:t>
      </w:r>
    </w:p>
    <w:p>
      <w:r>
        <w:t>Alle Zero Trust-Komponenten MÜSSEN sicherstellen, dass bei Konfigurationsmöglichkeiten die datenschutzfreundlichere Option vorausgewählt ist.</w:t>
      </w:r>
      <w:r>
        <w:rPr>
          <w:b/>
        </w:rPr>
        <w:t>[</w:t>
      </w:r>
      <w:r>
        <w:t>&lt;=</w:t>
      </w:r>
      <w:r>
        <w:rPr>
          <w:b/>
        </w:rPr>
        <w:t>]</w:t>
      </w:r>
    </w:p>
    <w:p>
      <w:pPr>
        <w:spacing w:before="0" w:after="0"/>
      </w:pPr>
      <w:r>
        <w:rPr>
          <w:vanish/>
        </w:rPr>
        <w:t>Mainline_OPB1/ML-152191</w:t>
      </w:r>
      <w:r>
        <w:rPr>
          <w:b/>
        </w:rPr>
        <w:t>A_25410</w:t>
      </w:r>
      <w:r>
        <w:rPr>
          <w:b/>
        </w:rPr>
        <w:t xml:space="preserve"> - </w:t>
      </w:r>
      <w:r>
        <w:rPr>
          <w:b/>
        </w:rPr>
        <w:t>Zero Trust-Komponenten - Verbot von Werbe- und Usability-Tracking</w:t>
      </w:r>
    </w:p>
    <w:p>
      <w:r>
        <w:t>Alle Zero Trust-Komponenten DÜRFEN im Produktivbetrieb ein Werbe- und Usability-Tracking NICHT verwenden.</w:t>
      </w:r>
      <w:r>
        <w:rPr>
          <w:b/>
        </w:rPr>
        <w:t>[</w:t>
      </w:r>
      <w:r>
        <w:t>&lt;=</w:t>
      </w:r>
      <w:r>
        <w:rPr>
          <w:b/>
        </w:rPr>
        <w:t>]</w:t>
      </w:r>
    </w:p>
    <w:p>
      <w:pPr>
        <w:spacing w:before="0" w:after="0"/>
      </w:pPr>
      <w:r>
        <w:rPr>
          <w:vanish/>
        </w:rPr>
        <w:t>Mainline_OPB1/ML-152192</w:t>
      </w:r>
      <w:r>
        <w:rPr>
          <w:b/>
        </w:rPr>
        <w:t>A_25411</w:t>
      </w:r>
      <w:r>
        <w:rPr>
          <w:b/>
        </w:rPr>
        <w:t xml:space="preserve"> - </w:t>
      </w:r>
      <w:r>
        <w:rPr>
          <w:b/>
        </w:rPr>
        <w:t>Zero Trust-Komponenten - Verbot vom dynamischen Inhalt</w:t>
      </w:r>
    </w:p>
    <w:p>
      <w:r>
        <w:t xml:space="preserve">Alle Zero Trust-Komponenten DÜRFEN dynamischen Inhalt von Drittanbietern NICHT herunterladen und verwenden. </w:t>
      </w:r>
      <w:r>
        <w:commentReference w:id="81"/>
      </w:r>
      <w:r>
        <w:rPr>
          <w:b/>
        </w:rPr>
        <w:t>[</w:t>
      </w:r>
      <w:r>
        <w:t>&lt;=</w:t>
      </w:r>
      <w:r>
        <w:rPr>
          <w:b/>
        </w:rPr>
        <w:t>]</w:t>
      </w:r>
    </w:p>
    <w:p>
      <w:pPr>
        <w:spacing w:before="0" w:after="0"/>
      </w:pPr>
      <w:r>
        <w:rPr>
          <w:vanish/>
        </w:rPr>
        <w:t>Mainline_OPB1/ML-152190</w:t>
      </w:r>
      <w:r>
        <w:rPr>
          <w:b/>
        </w:rPr>
        <w:t>A_25412</w:t>
      </w:r>
      <w:r>
        <w:rPr>
          <w:b/>
        </w:rPr>
        <w:t xml:space="preserve"> - </w:t>
      </w:r>
      <w:r>
        <w:rPr>
          <w:b/>
        </w:rPr>
        <w:t>Zero Trust-Komponenten - Zusätzliche Verschlüsselung bei der Persistierung</w:t>
      </w:r>
    </w:p>
    <w:p>
      <w:r>
        <w:t>Unabhängig davon, ob die Daten schon verschlüsselt vorliegen, MÜSSEN alle Zero Trust-Komponenten die Daten der Komponente bei der Persistierung verschlüsseln.  </w:t>
      </w:r>
      <w:r>
        <w:rPr>
          <w:b/>
        </w:rPr>
        <w:t>[</w:t>
      </w:r>
      <w:r>
        <w:t>&lt;=</w:t>
      </w:r>
      <w:r>
        <w:rPr>
          <w:b/>
        </w:rPr>
        <w:t>]</w:t>
      </w:r>
    </w:p>
    <w:p>
      <w:pPr>
        <w:spacing w:before="0" w:after="0"/>
      </w:pPr>
      <w:r>
        <w:rPr>
          <w:vanish/>
        </w:rPr>
        <w:t>Mainline_OPB1/ML-152299</w:t>
      </w:r>
      <w:r>
        <w:rPr>
          <w:b/>
        </w:rPr>
        <w:t>A_25413</w:t>
      </w:r>
      <w:r>
        <w:rPr>
          <w:b/>
        </w:rPr>
        <w:t xml:space="preserve"> - </w:t>
      </w:r>
      <w:r>
        <w:rPr>
          <w:b/>
        </w:rPr>
        <w:t>Zero Trust-Komponenten - Ordnungsgemäße IT-Administration</w:t>
      </w:r>
    </w:p>
    <w:p>
      <w:r>
        <w:t>Der Betreiber einer Zero Trust-Komponente MUSS die Maßnahmen für erhöhten Schutzbedarf des BSI-Bausteins „OPS.1.1.2 Ordnungsgemäße IT-Administration“ [BSI-Grundschutz] während des gesamten Betriebs der Komponente umsetzen.   </w:t>
      </w:r>
      <w:r>
        <w:rPr>
          <w:b/>
        </w:rPr>
        <w:t>[</w:t>
      </w:r>
      <w:r>
        <w:t>&lt;=</w:t>
      </w:r>
      <w:r>
        <w:rPr>
          <w:b/>
        </w:rPr>
        <w:t>]</w:t>
      </w:r>
    </w:p>
    <w:p>
      <w:pPr>
        <w:spacing w:before="0" w:after="0"/>
      </w:pPr>
      <w:r>
        <w:rPr>
          <w:vanish/>
        </w:rPr>
        <w:t>Mainline_OPB1/ML-153520</w:t>
      </w:r>
      <w:r>
        <w:rPr>
          <w:b/>
        </w:rPr>
        <w:t>A_25718</w:t>
      </w:r>
      <w:r>
        <w:rPr>
          <w:b/>
        </w:rPr>
        <w:t xml:space="preserve"> - </w:t>
      </w:r>
      <w:r>
        <w:rPr>
          <w:b/>
        </w:rPr>
        <w:t>Zero Trust-Komponenten - Bereitstellung Security-KPIs</w:t>
      </w:r>
    </w:p>
    <w:p>
      <w:r>
        <w:t>Alle Zero Trust-Komponenten MÜSSEN sicherstellen, dass die für die Komponente relevante Security-KPIs in </w:t>
      </w:r>
      <w:hyperlink r:id="rId12" w:history="1">
        <w:r>
          <w:rPr>
            <w:vanish/>
          </w:rPr>
          <w:t>1</w:t>
        </w:r>
        <w:r>
          <w:rPr>
            <w:u w:val="dotted"/>
          </w:rPr>
          <w:t>A_25484</w:t>
        </w:r>
      </w:hyperlink>
      <w:r>
        <w:t>   automatisch für den Betreiber bereitgestellt werden.  </w:t>
      </w:r>
      <w:r>
        <w:br/>
      </w:r>
      <w:r>
        <w:t>​​</w:t>
      </w:r>
      <w:r>
        <w:rPr>
          <w:b/>
        </w:rPr>
        <w:t>[</w:t>
      </w:r>
      <w:r>
        <w:t>&lt;=</w:t>
      </w:r>
      <w:r>
        <w:rPr>
          <w:b/>
        </w:rPr>
        <w:t>]</w:t>
      </w:r>
    </w:p>
    <w:p>
      <w:pPr>
        <w:divId w:val="169"/>
      </w:pPr>
      <w:r>
        <w:rPr>
          <w:i/>
        </w:rPr>
        <w:t>Hinweis: Die Anforderung ist besonders wichtig, falls die Zero Trust-Komponente in einer VAU betrieben wird. Die Bereitstellung der Daten soll in das betriebliche Rohdaten-Log erfolgen.</w:t>
      </w:r>
    </w:p>
    <w:p>
      <w:pPr>
        <w:pStyle w:val="Heading3"/>
        <w:divId w:val="170"/>
      </w:pPr>
      <w:bookmarkStart w:id="82" w:name="_Toc256000041"/>
      <w:r>
        <w:t>Sicherheits- und Datenschutzanforderungen an  Logging und Monitoring</w:t>
      </w:r>
      <w:bookmarkEnd w:id="82"/>
    </w:p>
    <w:p>
      <w:pPr>
        <w:divId w:val="171"/>
      </w:pPr>
      <w:r>
        <w:rPr>
          <w:i/>
        </w:rPr>
        <w:t>Hinweis: Die Anforderungen dieses Abschnitts könnten sich noch ändern, falls sich bei der Umsetzung des Zero Trust herausstellt, dass weitere Protokollierungen auf Seiten des Betreibers notwendig werden.</w:t>
      </w:r>
    </w:p>
    <w:p>
      <w:pPr>
        <w:divId w:val="172"/>
      </w:pPr>
    </w:p>
    <w:p>
      <w:pPr>
        <w:spacing w:before="0" w:after="0"/>
      </w:pPr>
      <w:r>
        <w:rPr>
          <w:vanish/>
        </w:rPr>
        <w:t>Mainline_OPB1/ML-153880</w:t>
      </w:r>
      <w:r>
        <w:rPr>
          <w:b/>
        </w:rPr>
        <w:t>A_25744</w:t>
      </w:r>
      <w:r>
        <w:rPr>
          <w:b/>
        </w:rPr>
        <w:t xml:space="preserve"> - </w:t>
      </w:r>
      <w:r>
        <w:rPr>
          <w:b/>
        </w:rPr>
        <w:t>Zero Trust-Komponenten - Datenschutzkonformes Logging und Monitoring</w:t>
      </w:r>
    </w:p>
    <w:p>
      <w:r>
        <w:t>Die Zero Trust-Komponenten MÜSSEN die für den Betrieb des Zero Trust erforderlichen Logging- und Monitoring-Informationen in solcher Art und Weise erheben und verarbeiten, dass mit technischen Mitteln ausgeschlossen ist, dass dem Betreiber der Zero Trust-Komponenten vertrauliche oder zur unautorisierten Profilbildung geeignete Daten zur Kenntnis gelangen.</w:t>
      </w:r>
      <w:r>
        <w:rPr>
          <w:b/>
        </w:rPr>
        <w:t>[</w:t>
      </w:r>
      <w:r>
        <w:t>&lt;=</w:t>
      </w:r>
      <w:r>
        <w:rPr>
          <w:b/>
        </w:rPr>
        <w:t>]</w:t>
      </w:r>
    </w:p>
    <w:p>
      <w:pPr>
        <w:spacing w:before="0" w:after="0"/>
      </w:pPr>
      <w:r>
        <w:rPr>
          <w:vanish/>
        </w:rPr>
        <w:t>Mainline_OPB1/ML-153878</w:t>
      </w:r>
      <w:r>
        <w:rPr>
          <w:b/>
        </w:rPr>
        <w:t>A_25745</w:t>
      </w:r>
      <w:r>
        <w:rPr>
          <w:b/>
        </w:rPr>
        <w:t xml:space="preserve"> - </w:t>
      </w:r>
      <w:r>
        <w:rPr>
          <w:b/>
        </w:rPr>
        <w:t>Zero Trust-Komponenten - Keine medizinischen Informationen in Logging und Monitoring</w:t>
      </w:r>
    </w:p>
    <w:p>
      <w:r>
        <w:t>Die Zero Trust-Komponenten MÜSSEN sicherstellen, dass in für den Betrieb erstellten Protokollen keine personenbezogenen medizinischen Informationen enthalten sind (u. a. medizinische Daten von Versicherten oder Informationen, aus denen sich ableiten lässt, bei welchen Leistungserbringerinstitutionen ein Versicherter in Behandlung ist).</w:t>
      </w:r>
      <w:r>
        <w:rPr>
          <w:b/>
        </w:rPr>
        <w:t>[</w:t>
      </w:r>
      <w:r>
        <w:t>&lt;=</w:t>
      </w:r>
      <w:r>
        <w:rPr>
          <w:b/>
        </w:rPr>
        <w:t>]</w:t>
      </w:r>
    </w:p>
    <w:p>
      <w:pPr>
        <w:spacing w:before="0" w:after="0"/>
      </w:pPr>
      <w:r>
        <w:rPr>
          <w:vanish/>
        </w:rPr>
        <w:t>Mainline_OPB1/ML-153881</w:t>
      </w:r>
      <w:r>
        <w:rPr>
          <w:b/>
        </w:rPr>
        <w:t>A_25746</w:t>
      </w:r>
      <w:r>
        <w:rPr>
          <w:b/>
        </w:rPr>
        <w:t xml:space="preserve"> - </w:t>
      </w:r>
      <w:r>
        <w:rPr>
          <w:b/>
        </w:rPr>
        <w:t>Zero Trust-Komponenten - Keine sicherheitsrelevanten Daten in Logging und Monitoring</w:t>
      </w:r>
    </w:p>
    <w:p>
      <w:r>
        <w:t>Die Zero Trust-Komponenten MÜSSEN sicherstellen, dass in für den Betrieb erstellten Protokollen des Betreibers keine sicherheitsrelevanten Daten enthalten sind.</w:t>
      </w:r>
      <w:r>
        <w:rPr>
          <w:b/>
        </w:rPr>
        <w:t>[</w:t>
      </w:r>
      <w:r>
        <w:t>&lt;=</w:t>
      </w:r>
      <w:r>
        <w:rPr>
          <w:b/>
        </w:rPr>
        <w:t>]</w:t>
      </w:r>
    </w:p>
    <w:p>
      <w:pPr>
        <w:divId w:val="173"/>
      </w:pPr>
      <w:r>
        <w:rPr>
          <w:i/>
        </w:rPr>
        <w:t>Hinweis: Sicherheitsrelevante Daten sind zum Beispiel, Kryptoschlüssel, Access/Refresh Token usw.</w:t>
      </w:r>
    </w:p>
    <w:p>
      <w:pPr>
        <w:spacing w:before="0" w:after="0"/>
      </w:pPr>
      <w:r>
        <w:rPr>
          <w:vanish/>
        </w:rPr>
        <w:t>Mainline_OPB1/ML-153882</w:t>
      </w:r>
      <w:r>
        <w:rPr>
          <w:b/>
        </w:rPr>
        <w:t>A_25747</w:t>
      </w:r>
      <w:r>
        <w:rPr>
          <w:b/>
        </w:rPr>
        <w:t xml:space="preserve"> - </w:t>
      </w:r>
      <w:r>
        <w:rPr>
          <w:b/>
        </w:rPr>
        <w:t>Zero Trust-Komponenten - Löschfristen Protokolle</w:t>
      </w:r>
    </w:p>
    <w:p>
      <w:r>
        <w:t>Der Betreiber einer Zero Trust-Komponente MUSS sicherstellen, dass die</w:t>
      </w:r>
    </w:p>
    <w:p>
      <w:pPr>
        <w:pStyle w:val="ListParagraph"/>
        <w:numPr>
          <w:ilvl w:val="0"/>
          <w:numId w:val="18"/>
        </w:numPr>
      </w:pPr>
      <w:r>
        <w:t>zum Zwecke der Fehleranalyse erhobenen Protokolle nach Behebung des Fehlers unverzüglich gelöscht werden,</w:t>
      </w:r>
    </w:p>
    <w:p>
      <w:pPr>
        <w:pStyle w:val="ListParagraph"/>
        <w:numPr>
          <w:ilvl w:val="0"/>
          <w:numId w:val="18"/>
        </w:numPr>
      </w:pPr>
      <w:r>
        <w:t>zum Zwecke des Security Monitorings erhobenen Protokolle nach 6 Monaten gelöscht werden.</w:t>
      </w:r>
    </w:p>
    <w:p>
      <w:r>
        <w:rPr>
          <w:b/>
        </w:rPr>
        <w:t>[</w:t>
      </w:r>
      <w:r>
        <w:t>&lt;=</w:t>
      </w:r>
      <w:r>
        <w:rPr>
          <w:b/>
        </w:rPr>
        <w:t>]</w:t>
      </w:r>
    </w:p>
    <w:p>
      <w:pPr>
        <w:pStyle w:val="Heading3"/>
        <w:divId w:val="174"/>
      </w:pPr>
      <w:bookmarkStart w:id="83" w:name="_Toc256000042"/>
      <w:r>
        <w:t>Sicherheits- und Datenschutz-Anforderungen an das Security Monitoring</w:t>
      </w:r>
      <w:bookmarkEnd w:id="83"/>
    </w:p>
    <w:p>
      <w:pPr>
        <w:divId w:val="175"/>
      </w:pPr>
      <w:r>
        <w:t>Das SIEM, Plattform-Monitoring und Shared Signals bilden das Security Monitoring von Zero Trust ab.  Die folgenden Anforderungen beschreiben die Fähigkeiten des Security Monitorings und welche Ereignisse erkannt werden sollen.</w:t>
      </w:r>
    </w:p>
    <w:p>
      <w:pPr>
        <w:spacing w:before="0" w:after="0"/>
      </w:pPr>
      <w:r>
        <w:rPr>
          <w:vanish/>
        </w:rPr>
        <w:t>Mainline_OPB1/ML-152327</w:t>
      </w:r>
      <w:r>
        <w:rPr>
          <w:b/>
        </w:rPr>
        <w:t>A_25419</w:t>
      </w:r>
      <w:r>
        <w:rPr>
          <w:b/>
        </w:rPr>
        <w:t xml:space="preserve"> - </w:t>
      </w:r>
      <w:r>
        <w:rPr>
          <w:b/>
        </w:rPr>
        <w:t>Security Monitoring - Erkennungsfähigkeit</w:t>
      </w:r>
    </w:p>
    <w:p>
      <w:r>
        <w:t xml:space="preserve">Der Betreiber des TI 2.0 Dienstes </w:t>
      </w:r>
      <w:r>
        <w:commentReference w:id="84"/>
      </w:r>
      <w:r>
        <w:t xml:space="preserve"> MUSS sicherstellen, dass das Monitoring System die folgenden Merkmale der Kommunikation </w:t>
      </w:r>
      <w:r>
        <w:commentReference w:id="85"/>
      </w:r>
      <w:r>
        <w:t xml:space="preserve"> erkennen kann:</w:t>
      </w:r>
    </w:p>
    <w:p>
      <w:pPr>
        <w:pStyle w:val="ListParagraph"/>
        <w:numPr>
          <w:ilvl w:val="0"/>
          <w:numId w:val="19"/>
        </w:numPr>
      </w:pPr>
      <w:r>
        <w:t>Geolokation - Land und Ort</w:t>
      </w:r>
    </w:p>
    <w:p>
      <w:pPr>
        <w:pStyle w:val="ListParagraph"/>
        <w:numPr>
          <w:ilvl w:val="0"/>
          <w:numId w:val="19"/>
        </w:numPr>
      </w:pPr>
      <w:r>
        <w:t>Impossible Travel</w:t>
      </w:r>
    </w:p>
    <w:p>
      <w:pPr>
        <w:pStyle w:val="ListParagraph"/>
        <w:numPr>
          <w:ilvl w:val="0"/>
          <w:numId w:val="19"/>
        </w:numPr>
      </w:pPr>
      <w:r>
        <w:t>Zugriffe über TOR Netzwerke</w:t>
      </w:r>
    </w:p>
    <w:p>
      <w:pPr>
        <w:pStyle w:val="ListParagraph"/>
        <w:numPr>
          <w:ilvl w:val="0"/>
          <w:numId w:val="19"/>
        </w:numPr>
      </w:pPr>
      <w:r>
        <w:t>Zugriff von VPN-Provider</w:t>
      </w:r>
    </w:p>
    <w:p>
      <w:pPr>
        <w:pStyle w:val="ListParagraph"/>
        <w:numPr>
          <w:ilvl w:val="0"/>
          <w:numId w:val="19"/>
        </w:numPr>
      </w:pPr>
      <w:r>
        <w:t>Zugriffe über Proxies</w:t>
      </w:r>
    </w:p>
    <w:p>
      <w:pPr>
        <w:pStyle w:val="ListParagraph"/>
        <w:numPr>
          <w:ilvl w:val="0"/>
          <w:numId w:val="19"/>
        </w:numPr>
      </w:pPr>
      <w:r>
        <w:t>Zugriffe über Botnetze</w:t>
      </w:r>
    </w:p>
    <w:p>
      <w:pPr>
        <w:pStyle w:val="ListParagraph"/>
        <w:numPr>
          <w:ilvl w:val="0"/>
          <w:numId w:val="19"/>
        </w:numPr>
      </w:pPr>
      <w:r>
        <w:t>Traffic Volumen Anomalien</w:t>
      </w:r>
    </w:p>
    <w:p>
      <w:pPr>
        <w:pStyle w:val="ListParagraph"/>
        <w:numPr>
          <w:ilvl w:val="0"/>
          <w:numId w:val="19"/>
        </w:numPr>
      </w:pPr>
      <w:r>
        <w:t>Network-Protokoll Anomalien</w:t>
      </w:r>
    </w:p>
    <w:p>
      <w:r>
        <w:rPr>
          <w:b/>
        </w:rPr>
        <w:t>[</w:t>
      </w:r>
      <w:r>
        <w:t>&lt;=</w:t>
      </w:r>
      <w:r>
        <w:rPr>
          <w:b/>
        </w:rPr>
        <w:t>]</w:t>
      </w:r>
    </w:p>
    <w:p>
      <w:pPr>
        <w:divId w:val="176"/>
      </w:pPr>
      <w:r>
        <w:rPr>
          <w:i/>
        </w:rPr>
        <w:t xml:space="preserve">Hinweis: </w:t>
      </w:r>
      <w:r>
        <w:rPr>
          <w:i/>
          <w:color w:val="000000"/>
          <w:sz w:val="20"/>
          <w:szCs w:val="20"/>
        </w:rPr>
        <w:t>Impossible Travel ist eine Methode zur Anomalieerkennung in der Cybersicherheit, die potenzielle Kompromittierungen identifiziert, indem sie Benutzeranmeldeaktivitäten analysiert und mit geografischen Standorten korreliert. Dabei werden Fälle markiert, in denen auf das Benutzerkonto innerhalb eines verdächtig kurzen Zeitraums aus zwei verschiedenen Ländern zugegriffen wird.</w:t>
      </w:r>
    </w:p>
    <w:p>
      <w:pPr>
        <w:divId w:val="177"/>
      </w:pPr>
      <w:r>
        <w:t>Der Fachdienst kann eine Missbrauchserkennung implementieren. Dabei werden mögliche Angriffe und Anomalien innerhalb der Anwendungslogik erkannt (z. B. falsche/manipulierte Metadaten für Dokumente in der elektronischen Patientenakte (ePA)) und an das SIEM System gemeldet.</w:t>
      </w:r>
    </w:p>
    <w:p>
      <w:pPr>
        <w:spacing w:before="0" w:after="0"/>
      </w:pPr>
      <w:r>
        <w:rPr>
          <w:vanish/>
        </w:rPr>
        <w:t>Mainline_OPB1/ML-152330</w:t>
      </w:r>
      <w:r>
        <w:rPr>
          <w:b/>
        </w:rPr>
        <w:t>A_25421</w:t>
      </w:r>
      <w:r>
        <w:rPr>
          <w:b/>
        </w:rPr>
        <w:t xml:space="preserve"> - </w:t>
      </w:r>
      <w:r>
        <w:rPr>
          <w:b/>
        </w:rPr>
        <w:t>Security Monitoring - Empfang von Missbrauchserkennung auf Fachdienstebene</w:t>
      </w:r>
    </w:p>
    <w:p>
      <w:r>
        <w:t>Falls der Fachdienst eine Missbrauchserkennung durchführt, MUSS der Betreiber des Security Monitorings sicherstellen, dass das Security Monitoring solche Missbrauchssignale von dem Fachdienst empfangen und verarbeitet werden kann.</w:t>
      </w:r>
      <w:r>
        <w:rPr>
          <w:b/>
        </w:rPr>
        <w:t>[</w:t>
      </w:r>
      <w:r>
        <w:t>&lt;=</w:t>
      </w:r>
      <w:r>
        <w:rPr>
          <w:b/>
        </w:rPr>
        <w:t>]</w:t>
      </w:r>
    </w:p>
    <w:p>
      <w:pPr>
        <w:spacing w:before="0" w:after="0"/>
      </w:pPr>
      <w:r>
        <w:rPr>
          <w:vanish/>
        </w:rPr>
        <w:t>Mainline_OPB1/ML-152328</w:t>
      </w:r>
      <w:r>
        <w:rPr>
          <w:b/>
        </w:rPr>
        <w:t>A_25420</w:t>
      </w:r>
      <w:r>
        <w:rPr>
          <w:b/>
        </w:rPr>
        <w:t xml:space="preserve"> - </w:t>
      </w:r>
      <w:r>
        <w:rPr>
          <w:b/>
        </w:rPr>
        <w:t>Security Monitoring - Kommunikationsmerkmale signalisieren</w:t>
      </w:r>
    </w:p>
    <w:p>
      <w:r>
        <w:t xml:space="preserve">Der Betreiber des Monitoring Systems MUSS sicherstellen, dass bei Erkennung folgender Kommunikationsmerkmale die erforderlichen Informationen automatisiert an den PEP gesendet werden:  </w:t>
      </w:r>
      <w:r>
        <w:commentReference w:id="86"/>
      </w:r>
      <w:r>
        <w:t> </w:t>
      </w:r>
    </w:p>
    <w:p>
      <w:pPr>
        <w:pStyle w:val="ListParagraph"/>
        <w:numPr>
          <w:ilvl w:val="0"/>
          <w:numId w:val="20"/>
        </w:numPr>
      </w:pPr>
      <w:r>
        <w:t>Impossible Travel</w:t>
      </w:r>
    </w:p>
    <w:p>
      <w:pPr>
        <w:pStyle w:val="ListParagraph"/>
        <w:numPr>
          <w:ilvl w:val="0"/>
          <w:numId w:val="20"/>
        </w:numPr>
      </w:pPr>
      <w:r>
        <w:t>Zugriffe über TOR Netzwerke</w:t>
      </w:r>
    </w:p>
    <w:p>
      <w:pPr>
        <w:pStyle w:val="ListParagraph"/>
        <w:numPr>
          <w:ilvl w:val="0"/>
          <w:numId w:val="20"/>
        </w:numPr>
      </w:pPr>
      <w:r>
        <w:t>Zugriffe über Proxies</w:t>
      </w:r>
    </w:p>
    <w:p>
      <w:pPr>
        <w:pStyle w:val="ListParagraph"/>
        <w:numPr>
          <w:ilvl w:val="0"/>
          <w:numId w:val="20"/>
        </w:numPr>
      </w:pPr>
      <w:r>
        <w:t>Zugriffe über Botnetze</w:t>
      </w:r>
    </w:p>
    <w:p>
      <w:pPr>
        <w:pStyle w:val="ListParagraph"/>
        <w:numPr>
          <w:ilvl w:val="0"/>
          <w:numId w:val="20"/>
        </w:numPr>
      </w:pPr>
      <w:r>
        <w:t>Zugriff von VPN-Provider</w:t>
      </w:r>
    </w:p>
    <w:p>
      <w:pPr>
        <w:pStyle w:val="ListParagraph"/>
        <w:numPr>
          <w:ilvl w:val="0"/>
          <w:numId w:val="20"/>
        </w:numPr>
      </w:pPr>
      <w:r>
        <w:t>Traffic Volumen Anomalien</w:t>
      </w:r>
    </w:p>
    <w:p>
      <w:pPr>
        <w:pStyle w:val="ListParagraph"/>
        <w:numPr>
          <w:ilvl w:val="0"/>
          <w:numId w:val="20"/>
        </w:numPr>
      </w:pPr>
      <w:r>
        <w:t>Network-Protokoll Anomalien</w:t>
      </w:r>
    </w:p>
    <w:p>
      <w:pPr>
        <w:pStyle w:val="ListParagraph"/>
        <w:numPr>
          <w:ilvl w:val="0"/>
          <w:numId w:val="20"/>
        </w:numPr>
      </w:pPr>
      <w:r>
        <w:t>Missbrauchssignale von dem Fachdienst (falls implementiert)</w:t>
      </w:r>
    </w:p>
    <w:p>
      <w:r>
        <w:rPr>
          <w:b/>
        </w:rPr>
        <w:t>[</w:t>
      </w:r>
      <w:r>
        <w:t>&lt;=</w:t>
      </w:r>
      <w:r>
        <w:rPr>
          <w:b/>
        </w:rPr>
        <w:t>]</w:t>
      </w:r>
    </w:p>
    <w:p>
      <w:pPr>
        <w:divId w:val="178"/>
      </w:pPr>
      <w:r>
        <w:rPr>
          <w:i/>
        </w:rPr>
        <w:t>Hinweis: Mit dem Signal erhält der PEP die Information, dass sich eine Eigenschaft der aktuellen Session geändert hat. Der PEP sperrt automatisch das aktuelle Access Token, sodass der Client ein neues Access Token beim Authorization Server abfragen muss. Die Abfrage des neuen Access Token beinhaltet immer eine Entscheidung durch den PDP.</w:t>
      </w:r>
    </w:p>
    <w:p>
      <w:pPr>
        <w:spacing w:before="0" w:after="0"/>
      </w:pPr>
      <w:r>
        <w:rPr>
          <w:vanish/>
        </w:rPr>
        <w:t>Mainline_OPB1/ML-152865</w:t>
      </w:r>
      <w:r>
        <w:rPr>
          <w:b/>
        </w:rPr>
        <w:t>A_25484</w:t>
      </w:r>
      <w:r>
        <w:rPr>
          <w:b/>
        </w:rPr>
        <w:t xml:space="preserve"> - </w:t>
      </w:r>
      <w:r>
        <w:rPr>
          <w:b/>
        </w:rPr>
        <w:t>Security Monitoring - Security KPIs</w:t>
      </w:r>
    </w:p>
    <w:p>
      <w:r>
        <w:t>Der Betreiber des Monitoring Systems MUSS einmal täglich als Teil der Bestandsdatenlieferung die folgende Sicherheits-KPIs automatisiert über die von der gematik angebotene Schnittstelle an das TI SIEM System übermitteln:</w:t>
      </w:r>
    </w:p>
    <w:p>
      <w:pPr>
        <w:pStyle w:val="ListParagraph"/>
        <w:numPr>
          <w:ilvl w:val="0"/>
          <w:numId w:val="21"/>
        </w:numPr>
      </w:pPr>
      <w:r>
        <w:rPr>
          <w:color w:val="000000"/>
          <w:sz w:val="20"/>
          <w:szCs w:val="20"/>
        </w:rPr>
        <w:t>Anzahl versuchter Zugriffe von nicht registrierten Geräten (hier muss die KPIs zwischen Fachdienst APIs und Clientregistrierung APIs unterscheiden)</w:t>
      </w:r>
    </w:p>
    <w:p>
      <w:pPr>
        <w:pStyle w:val="ListParagraph"/>
        <w:numPr>
          <w:ilvl w:val="0"/>
          <w:numId w:val="21"/>
        </w:numPr>
      </w:pPr>
      <w:r>
        <w:t>Anzahl von Netzwerk-Protokoll-Anomalien</w:t>
      </w:r>
    </w:p>
    <w:p>
      <w:pPr>
        <w:pStyle w:val="ListParagraph"/>
        <w:numPr>
          <w:ilvl w:val="0"/>
          <w:numId w:val="21"/>
        </w:numPr>
      </w:pPr>
      <w:r>
        <w:rPr>
          <w:color w:val="000000"/>
          <w:sz w:val="20"/>
          <w:szCs w:val="20"/>
        </w:rPr>
        <w:t>Anzahl von Zugriffen von Botnetzen</w:t>
      </w:r>
    </w:p>
    <w:p>
      <w:pPr>
        <w:pStyle w:val="ListParagraph"/>
        <w:numPr>
          <w:ilvl w:val="0"/>
          <w:numId w:val="21"/>
        </w:numPr>
      </w:pPr>
      <w:r>
        <w:t>Anzahl von Zugriffen aus jedem Land gezählt plus weitere Zugriffe, die separat in Versicherte und LE ausgewiesen werden</w:t>
      </w:r>
    </w:p>
    <w:p>
      <w:pPr>
        <w:pStyle w:val="ListParagraph"/>
        <w:numPr>
          <w:ilvl w:val="0"/>
          <w:numId w:val="21"/>
        </w:numPr>
      </w:pPr>
      <w:r>
        <w:rPr>
          <w:color w:val="000000"/>
          <w:sz w:val="20"/>
          <w:szCs w:val="20"/>
        </w:rPr>
        <w:t>Anzahl fehlerhafter Gerätfreischaltungen</w:t>
      </w:r>
      <w:r>
        <w:t xml:space="preserve"> plus weitere breakdown in Versicherte und LE</w:t>
      </w:r>
    </w:p>
    <w:p>
      <w:pPr>
        <w:pStyle w:val="ListParagraph"/>
        <w:numPr>
          <w:ilvl w:val="0"/>
          <w:numId w:val="21"/>
        </w:numPr>
      </w:pPr>
      <w:r>
        <w:rPr>
          <w:color w:val="000000"/>
          <w:sz w:val="20"/>
          <w:szCs w:val="20"/>
        </w:rPr>
        <w:t>Anzahl von Impossible travel Zugriffen (inkl. Land- und Ortsdaten)</w:t>
      </w:r>
      <w:r>
        <w:t xml:space="preserve"> plus weitere breakdown in Versicherte und LE</w:t>
      </w:r>
    </w:p>
    <w:p>
      <w:pPr>
        <w:pStyle w:val="ListParagraph"/>
        <w:numPr>
          <w:ilvl w:val="0"/>
          <w:numId w:val="21"/>
        </w:numPr>
      </w:pPr>
      <w:r>
        <w:t>Anzahl von Zugriffen über TOR Netzwerke plus weitere breakdown in Versicherte und LE</w:t>
      </w:r>
    </w:p>
    <w:p>
      <w:pPr>
        <w:pStyle w:val="ListParagraph"/>
        <w:numPr>
          <w:ilvl w:val="0"/>
          <w:numId w:val="21"/>
        </w:numPr>
      </w:pPr>
      <w:r>
        <w:t>Anzahl von Zugriffen über Proxies plus weitere breakdown in Versicherte und LE</w:t>
      </w:r>
    </w:p>
    <w:p>
      <w:pPr>
        <w:pStyle w:val="ListParagraph"/>
        <w:numPr>
          <w:ilvl w:val="0"/>
          <w:numId w:val="21"/>
        </w:numPr>
      </w:pPr>
      <w:r>
        <w:rPr>
          <w:color w:val="000000"/>
          <w:sz w:val="20"/>
          <w:szCs w:val="20"/>
        </w:rPr>
        <w:t>Anzahl von Zugriffen über VPNs</w:t>
      </w:r>
      <w:r>
        <w:t xml:space="preserve"> plus weitere breakdown in Versicherte und LE</w:t>
      </w:r>
    </w:p>
    <w:p>
      <w:pPr>
        <w:pStyle w:val="ListParagraph"/>
        <w:numPr>
          <w:ilvl w:val="0"/>
          <w:numId w:val="21"/>
        </w:numPr>
      </w:pPr>
      <w:r>
        <w:rPr>
          <w:color w:val="000000"/>
          <w:sz w:val="20"/>
          <w:szCs w:val="20"/>
        </w:rPr>
        <w:t>Traffic Volumes</w:t>
      </w:r>
      <w:r>
        <w:t xml:space="preserve"> plus weitere breakdown in Versicherte und LE</w:t>
      </w:r>
    </w:p>
    <w:p>
      <w:pPr>
        <w:pStyle w:val="ListParagraph"/>
        <w:numPr>
          <w:ilvl w:val="0"/>
          <w:numId w:val="21"/>
        </w:numPr>
      </w:pPr>
      <w:r>
        <w:t>Anzahl erkannte Angriffe in Kategorie (siehe </w:t>
      </w:r>
      <w:hyperlink r:id="rId13" w:history="1">
        <w:r>
          <w:rPr>
            <w:vanish/>
          </w:rPr>
          <w:t>2</w:t>
        </w:r>
        <w:r>
          <w:rPr>
            <w:u w:val="dotted"/>
          </w:rPr>
          <w:t>A_25404</w:t>
        </w:r>
      </w:hyperlink>
      <w:r>
        <w:t>) plus weitere breakdown in Versicherte und LE</w:t>
      </w:r>
    </w:p>
    <w:p>
      <w:pPr>
        <w:pStyle w:val="ListParagraph"/>
        <w:numPr>
          <w:ilvl w:val="0"/>
          <w:numId w:val="21"/>
        </w:numPr>
      </w:pPr>
      <w:r>
        <w:t>Anzahl fehlerhafte Authorization Codes vom IDP.</w:t>
      </w:r>
    </w:p>
    <w:p>
      <w:r>
        <w:rPr>
          <w:b/>
        </w:rPr>
        <w:t>[</w:t>
      </w:r>
      <w:r>
        <w:t>&lt;=</w:t>
      </w:r>
      <w:r>
        <w:rPr>
          <w:b/>
        </w:rPr>
        <w:t>]</w:t>
      </w:r>
    </w:p>
    <w:p>
      <w:pPr>
        <w:divId w:val="179"/>
      </w:pPr>
      <w:r>
        <w:rPr>
          <w:i/>
        </w:rPr>
        <w:t>Hinweis: Security KPIs beinhalten anonyme Daten und sind nicht auf individuelle Nutzer zurückzuführen. </w:t>
      </w:r>
    </w:p>
    <w:p>
      <w:pPr>
        <w:divId w:val="180"/>
      </w:pPr>
      <w:r>
        <w:rPr>
          <w:i/>
        </w:rPr>
        <w:t>Hinweis: Netzwerk-Protokoll-Anomalien sind z.B. ungewöhnliche Netzwerk-Aktivitäten, Netzwerk-Protokoll-Aktivitäten oder die Manipulation von Netzwerk-Paketen. </w:t>
      </w:r>
    </w:p>
    <w:p>
      <w:pPr>
        <w:spacing w:before="0" w:after="0"/>
      </w:pPr>
      <w:r>
        <w:rPr>
          <w:vanish/>
        </w:rPr>
        <w:t>Mainline_OPB1/ML-152867</w:t>
      </w:r>
      <w:r>
        <w:rPr>
          <w:b/>
        </w:rPr>
        <w:t>A_25485</w:t>
      </w:r>
      <w:r>
        <w:rPr>
          <w:b/>
        </w:rPr>
        <w:t xml:space="preserve"> - </w:t>
      </w:r>
      <w:r>
        <w:rPr>
          <w:b/>
        </w:rPr>
        <w:t>Security Monitoring - Sicherheitsmeldung bei Aktualisierung von PIP-Daten oder PDP-Policies</w:t>
      </w:r>
    </w:p>
    <w:p>
      <w:r>
        <w:t>Der Betreiber des Security Monitoring MUSS sicherstellen, dass bei der Aktualisierung der PIP-Daten oder PDP-Policies eine Sicherheitsmeldung automatisiert über die von der gematik angebotene Schnittstelle an das TI SIEM System übermittelt wird.</w:t>
      </w:r>
      <w:r>
        <w:rPr>
          <w:b/>
        </w:rPr>
        <w:t>[</w:t>
      </w:r>
      <w:r>
        <w:t>&lt;=</w:t>
      </w:r>
      <w:r>
        <w:rPr>
          <w:b/>
        </w:rPr>
        <w:t>]</w:t>
      </w:r>
    </w:p>
    <w:p>
      <w:pPr>
        <w:spacing w:before="0" w:after="0"/>
      </w:pPr>
      <w:r>
        <w:rPr>
          <w:vanish/>
        </w:rPr>
        <w:t>Mainline_OPB1/ML-153218</w:t>
      </w:r>
      <w:r>
        <w:rPr>
          <w:b/>
        </w:rPr>
        <w:t>A_25606</w:t>
      </w:r>
      <w:r>
        <w:rPr>
          <w:b/>
        </w:rPr>
        <w:t xml:space="preserve"> - </w:t>
      </w:r>
      <w:r>
        <w:rPr>
          <w:b/>
        </w:rPr>
        <w:t>Security Monitoring - Fehlermeldung bei Aktualisierung von PIP-Daten oder PDP-Policies</w:t>
      </w:r>
    </w:p>
    <w:p>
      <w:r>
        <w:t>Der Betreiber des Security Monitoring MUSS sicherstellen, dass beim folgenden Fehler während der Aktualisierung der PIP-Daten oder PDP-Policies eine Fehlermeldung automatisiert über die von der gematik angebotene Schnittstelle an das TI SIEM System übermittelt wird:</w:t>
      </w:r>
    </w:p>
    <w:p>
      <w:pPr>
        <w:pStyle w:val="ListParagraph"/>
        <w:numPr>
          <w:ilvl w:val="0"/>
          <w:numId w:val="22"/>
        </w:numPr>
      </w:pPr>
      <w:r>
        <w:t>Policy Download Fehler ((http Fehlercode: 400, 404)</w:t>
      </w:r>
    </w:p>
    <w:p>
      <w:pPr>
        <w:pStyle w:val="ListParagraph"/>
        <w:numPr>
          <w:ilvl w:val="0"/>
          <w:numId w:val="22"/>
        </w:numPr>
      </w:pPr>
      <w:r>
        <w:t>Fehler bei der Integritätsprüfung der Policysignatur</w:t>
      </w:r>
    </w:p>
    <w:p>
      <w:r>
        <w:rPr>
          <w:b/>
        </w:rPr>
        <w:t>[</w:t>
      </w:r>
      <w:r>
        <w:t>&lt;=</w:t>
      </w:r>
      <w:r>
        <w:rPr>
          <w:b/>
        </w:rPr>
        <w:t>]</w:t>
      </w:r>
    </w:p>
    <w:p>
      <w:pPr>
        <w:pStyle w:val="Heading3"/>
        <w:divId w:val="181"/>
      </w:pPr>
      <w:bookmarkStart w:id="87" w:name="_Toc256000043"/>
      <w:r>
        <w:t>Sicherheits- und Datenschutz-Anforderungen an die Verarbeitung von Daten mit dem Schutzbedarf "sehr hoch"</w:t>
      </w:r>
      <w:bookmarkEnd w:id="87"/>
    </w:p>
    <w:p>
      <w:pPr>
        <w:divId w:val="182"/>
      </w:pPr>
      <w:r>
        <w:t>Falls der ZT Cluster Daten mit dem Schutzbedarf „sehr hoch“ verarbeitet und der Betreiber keine Kenntnis über die in dem ZT Cluster verarbeiteten Daten erlangen darf, gibt es Sonderanforderungen, um die Daten während der Verarbeitung zu schützen.</w:t>
      </w:r>
    </w:p>
    <w:p>
      <w:pPr>
        <w:spacing w:before="0" w:after="0"/>
      </w:pPr>
      <w:r>
        <w:rPr>
          <w:vanish/>
        </w:rPr>
        <w:t>Mainline_OPB1/ML-153220</w:t>
      </w:r>
      <w:r>
        <w:rPr>
          <w:b/>
        </w:rPr>
        <w:t>A_25608</w:t>
      </w:r>
      <w:r>
        <w:rPr>
          <w:b/>
        </w:rPr>
        <w:t xml:space="preserve"> - </w:t>
      </w:r>
      <w:r>
        <w:rPr>
          <w:b/>
        </w:rPr>
        <w:t>PEP und PDP - Verarbeitung von Daten mit Schutzbedarf "sehr hoch"</w:t>
      </w:r>
    </w:p>
    <w:p>
      <w:r>
        <w:t xml:space="preserve">Falls der ZT Cluster Daten mit dem Schutzbedarf „sehr hoch“ verarbeitet und der Betreiber keine Kenntnis über die in dem ZT Cluster verarbeiteten Daten erlangen darf, MUSS der Betreiber den ZT Cluster in einer VAU umsetzen. </w:t>
      </w:r>
      <w:r>
        <w:commentReference w:id="88"/>
      </w:r>
      <w:r>
        <w:rPr>
          <w:b/>
        </w:rPr>
        <w:t>[</w:t>
      </w:r>
      <w:r>
        <w:t>&lt;=</w:t>
      </w:r>
      <w:r>
        <w:rPr>
          <w:b/>
        </w:rPr>
        <w:t>]</w:t>
      </w:r>
    </w:p>
    <w:p>
      <w:pPr>
        <w:spacing w:before="0" w:after="0"/>
      </w:pPr>
      <w:r>
        <w:rPr>
          <w:vanish/>
        </w:rPr>
        <w:t>Mainline_OPB1/ML-153913</w:t>
      </w:r>
      <w:r>
        <w:rPr>
          <w:b/>
        </w:rPr>
        <w:t>A_25763</w:t>
      </w:r>
      <w:r>
        <w:rPr>
          <w:b/>
        </w:rPr>
        <w:t xml:space="preserve"> - </w:t>
      </w:r>
      <w:r>
        <w:rPr>
          <w:b/>
        </w:rPr>
        <w:t>Zero Trust-Komponenten - Private Schlüssel der Komponenten-Identitäten in einem HSM</w:t>
      </w:r>
    </w:p>
    <w:p>
      <w:r>
        <w:t xml:space="preserve">Falls der ZT Cluster Daten mit dem Schutzbedarf „sehr hoch“ verarbeitet und der Betreiber keine Kenntnis über die in dem ZT Cluster verarbeiteten Daten erlangen darf, MUSS der Betreiber die privaten Schlüssel der Identitäten aller Zero Trust-Komponenten in einem HSM speichern. </w:t>
      </w:r>
      <w:r>
        <w:commentReference w:id="89"/>
      </w:r>
      <w:r>
        <w:commentReference w:id="90"/>
      </w:r>
      <w:r>
        <w:commentReference w:id="91"/>
      </w:r>
      <w:r>
        <w:rPr>
          <w:b/>
        </w:rPr>
        <w:t>[</w:t>
      </w:r>
      <w:r>
        <w:t>&lt;=</w:t>
      </w:r>
      <w:r>
        <w:rPr>
          <w:b/>
        </w:rPr>
        <w:t>]</w:t>
      </w:r>
    </w:p>
    <w:p>
      <w:pPr>
        <w:spacing w:before="0" w:after="0"/>
      </w:pPr>
      <w:r>
        <w:rPr>
          <w:vanish/>
        </w:rPr>
        <w:t>Mainline_OPB1/ML-153915</w:t>
      </w:r>
      <w:r>
        <w:rPr>
          <w:b/>
        </w:rPr>
        <w:t>A_25764</w:t>
      </w:r>
      <w:r>
        <w:rPr>
          <w:b/>
        </w:rPr>
        <w:t xml:space="preserve"> - </w:t>
      </w:r>
      <w:r>
        <w:rPr>
          <w:b/>
        </w:rPr>
        <w:t>Zero Trust-Komponenten - Sicherer Betrieb und Nutzung eines HSMs</w:t>
      </w:r>
    </w:p>
    <w:p>
      <w:r>
        <w:t>Falls der ZT Cluster Daten mit dem Schutzbedarf „sehr hoch“ verarbeitet und der Betreiber keine Kenntnis über die in dem ZT Cluster verarbeiteten Daten erlangen darf, MUSS der Betreiber beim Einsatz eines HSMs sicherstellen, dass die auf dem HSM verarbeiteten privaten Schlüssel, Konfigurationen und eingesetzte Software nicht unautorisiert ausgelesen, unautorisiert verändert, unautorisiert ersetzt oder in anderer Weise unautorisiert benutzt werden können.</w:t>
      </w:r>
      <w:r>
        <w:rPr>
          <w:b/>
        </w:rPr>
        <w:t>[</w:t>
      </w:r>
      <w:r>
        <w:t>&lt;=</w:t>
      </w:r>
      <w:r>
        <w:rPr>
          <w:b/>
        </w:rPr>
        <w:t>]</w:t>
      </w:r>
    </w:p>
    <w:p>
      <w:pPr>
        <w:spacing w:before="0" w:after="0"/>
      </w:pPr>
      <w:r>
        <w:rPr>
          <w:vanish/>
        </w:rPr>
        <w:t>Mainline_OPB1/ML-153914</w:t>
      </w:r>
      <w:r>
        <w:rPr>
          <w:b/>
        </w:rPr>
        <w:t>A_25765</w:t>
      </w:r>
      <w:r>
        <w:rPr>
          <w:b/>
        </w:rPr>
        <w:t xml:space="preserve"> - </w:t>
      </w:r>
      <w:r>
        <w:rPr>
          <w:b/>
        </w:rPr>
        <w:t>Zero Trust-Komponenten - Einsatz zertifizierter HSM</w:t>
      </w:r>
    </w:p>
    <w:p>
      <w:r>
        <w:t>Falls der ZT Cluster Daten mit dem Schutzbedarf „sehr hoch“ verarbeitet und der Betreiber keine Kenntnis über die in dem ZT Cluster verarbeiteten Daten erlangen darf, MUSS der Betreiber beim Einsatz eines HSMs sicherstellen, dass dessen Eignung durch eine erfolgreiche Evaluierung nachgewiesen wurde. Als Evaluierungsschemata kommen dabei Common Criteria, ITSEC oder Federal Information Processing Standard (FIPS) in Frage. </w:t>
      </w:r>
      <w:r>
        <w:br/>
      </w:r>
      <w:r>
        <w:t>Die Prüftiefe MUSS mindestens:</w:t>
      </w:r>
    </w:p>
    <w:p>
      <w:pPr>
        <w:pStyle w:val="ListParagraph"/>
        <w:numPr>
          <w:ilvl w:val="0"/>
          <w:numId w:val="23"/>
        </w:numPr>
      </w:pPr>
      <w:r>
        <w:t>FIPS 140-2 Level 3 oder</w:t>
      </w:r>
    </w:p>
    <w:p>
      <w:pPr>
        <w:pStyle w:val="ListParagraph"/>
        <w:numPr>
          <w:ilvl w:val="0"/>
          <w:numId w:val="23"/>
        </w:numPr>
      </w:pPr>
      <w:r>
        <w:t>FIPS 140-3 Level 3 oder  </w:t>
      </w:r>
    </w:p>
    <w:p>
      <w:pPr>
        <w:pStyle w:val="ListParagraph"/>
        <w:numPr>
          <w:ilvl w:val="0"/>
          <w:numId w:val="23"/>
        </w:numPr>
      </w:pPr>
      <w:r>
        <w:t xml:space="preserve">Common Criteria EAL 4+ (mit AVA_VAN.5) </w:t>
      </w:r>
    </w:p>
    <w:p>
      <w:r>
        <w:t>entsprechen.</w:t>
      </w:r>
      <w:r>
        <w:rPr>
          <w:b/>
        </w:rPr>
        <w:t>[</w:t>
      </w:r>
      <w:r>
        <w:t>&lt;=</w:t>
      </w:r>
      <w:r>
        <w:rPr>
          <w:b/>
        </w:rPr>
        <w:t>]</w:t>
      </w:r>
    </w:p>
    <w:p>
      <w:pPr>
        <w:spacing w:before="0" w:after="0"/>
      </w:pPr>
      <w:r>
        <w:rPr>
          <w:vanish/>
        </w:rPr>
        <w:t>Mainline_OPB1/ML-155952</w:t>
      </w:r>
      <w:r>
        <w:rPr>
          <w:b/>
        </w:rPr>
        <w:t>A_26065</w:t>
      </w:r>
      <w:r>
        <w:rPr>
          <w:b/>
        </w:rPr>
        <w:t xml:space="preserve"> - </w:t>
      </w:r>
      <w:r>
        <w:rPr>
          <w:b/>
        </w:rPr>
        <w:t>Nur zugelassene Images in Produktion</w:t>
      </w:r>
    </w:p>
    <w:p>
      <w:r>
        <w:t>Falls der ZT Cluster Daten mit dem Schutzbedarf „sehr hoch“ verarbeitet und der Betreiber keine Kenntnis über die in dem ZT Cluster verarbeiteten Daten erlangen darf, MUSS der Betreiber mit technischem Mittel sicherstellen, dass nur von gematik signierte und für den Einsatz in der PU vorgesehene Produktimages in der PU laufen können.  </w:t>
      </w:r>
      <w:r>
        <w:rPr>
          <w:b/>
        </w:rPr>
        <w:t>[</w:t>
      </w:r>
      <w:r>
        <w:t>&lt;=</w:t>
      </w:r>
      <w:r>
        <w:rPr>
          <w:b/>
        </w:rPr>
        <w:t>]</w:t>
      </w:r>
    </w:p>
    <w:p>
      <w:pPr>
        <w:divId w:val="183"/>
      </w:pPr>
      <w:r>
        <w:rPr>
          <w:i/>
        </w:rPr>
        <w:t>Hinweis: Ein Beispiel dafür wäre eine Art Plattform Attestierung, die eine Manipulation von Images erkennen und ausschließen kann.</w:t>
      </w:r>
    </w:p>
    <w:p>
      <w:pPr>
        <w:pStyle w:val="Heading3"/>
        <w:divId w:val="184"/>
      </w:pPr>
      <w:bookmarkStart w:id="92" w:name="_Toc256000044"/>
      <w:r>
        <w:t>Sicherheits- und Datenschutz Anforderungen an dem Trust Client</w:t>
      </w:r>
      <w:bookmarkEnd w:id="92"/>
    </w:p>
    <w:p>
      <w:pPr>
        <w:spacing w:before="0" w:after="0"/>
      </w:pPr>
      <w:r>
        <w:rPr>
          <w:vanish/>
        </w:rPr>
        <w:t>Mainline_OPB1/ML-153975</w:t>
      </w:r>
      <w:r>
        <w:rPr>
          <w:b/>
        </w:rPr>
        <w:t>A_25802</w:t>
      </w:r>
      <w:r>
        <w:rPr>
          <w:b/>
        </w:rPr>
        <w:t xml:space="preserve"> - </w:t>
      </w:r>
      <w:r>
        <w:rPr>
          <w:b/>
        </w:rPr>
        <w:t>Trust Client - Einhaltung der  BSI-Prüfvorschrift</w:t>
      </w:r>
    </w:p>
    <w:p>
      <w:r>
        <w:t xml:space="preserve">Der Trust Client MUSS die Prüfaspekte aus BSI [TR-03161] erfüllen, </w:t>
      </w:r>
      <w:r>
        <w:t xml:space="preserve"> sofern sie für das Trust Client anwendbar sind. </w:t>
      </w:r>
      <w:r>
        <w:commentReference w:id="93"/>
      </w:r>
      <w:r>
        <w:rPr>
          <w:b/>
        </w:rPr>
        <w:t>[</w:t>
      </w:r>
      <w:r>
        <w:t>&lt;=</w:t>
      </w:r>
      <w:r>
        <w:rPr>
          <w:b/>
        </w:rPr>
        <w:t>]</w:t>
      </w:r>
    </w:p>
    <w:p>
      <w:pPr>
        <w:divId w:val="185"/>
      </w:pPr>
      <w:r>
        <w:rPr>
          <w:i/>
        </w:rPr>
        <w:t>Hinweis: Nicht anwendbar können zum Beispiel sein: O.Paid .. Die Anwendbarkeit ist zwischen Hersteller des Trust Clients und dem Gutachter zu klären. Der Gutachter gibt sein Votum über die Erfüllung der BSI [TR-03161] in Form der Bewertung der Erfüllung der </w:t>
      </w:r>
      <w:hyperlink r:id="rId14" w:history="1">
        <w:r>
          <w:rPr>
            <w:vanish/>
          </w:rPr>
          <w:t>3</w:t>
        </w:r>
        <w:r>
          <w:rPr>
            <w:i/>
            <w:u w:val="dotted"/>
          </w:rPr>
          <w:t>A_25802</w:t>
        </w:r>
      </w:hyperlink>
      <w:r>
        <w:rPr>
          <w:i/>
        </w:rPr>
        <w:t>  ab, wobei die </w:t>
      </w:r>
      <w:hyperlink r:id="rId14" w:history="1">
        <w:r>
          <w:rPr>
            <w:vanish/>
          </w:rPr>
          <w:t>4</w:t>
        </w:r>
        <w:r>
          <w:rPr>
            <w:i/>
            <w:u w:val="dotted"/>
          </w:rPr>
          <w:t>A_25802</w:t>
        </w:r>
      </w:hyperlink>
      <w:r>
        <w:rPr>
          <w:i/>
        </w:rPr>
        <w:t> als „umgesetzt“ bewertet werden kann, wenn die anwendbaren Prüfaspekte der BSI [TR-03161] aus Sicht des Gutachters erfüllt sind. </w:t>
      </w:r>
    </w:p>
    <w:p>
      <w:pPr>
        <w:pStyle w:val="Heading2"/>
        <w:divId w:val="186"/>
      </w:pPr>
      <w:bookmarkStart w:id="94" w:name="_Toc256000045"/>
      <w:r>
        <w:t>Anforderungen an Clientsysteme</w:t>
      </w:r>
      <w:bookmarkEnd w:id="94"/>
    </w:p>
    <w:p>
      <w:pPr>
        <w:divId w:val="187"/>
      </w:pPr>
      <w:r>
        <w:t>Ein Clientsystem ist eine Softwarekomponente in der Verwendung eines Benutzers zum Ausführen fachlicher Anwendungsfälle z.B. als Primärsystem (PVS, AVS, LIS, KIS etc.) oder als Frontend des Versicherten (ePA-App, E-Rezept-App, TI-Messenger etc.). Dieses Clientsystem wird dem Benutzer durch einen Hersteller bzw. Herausgeber zur Verfügung gestellt.</w:t>
      </w:r>
    </w:p>
    <w:p>
      <w:pPr>
        <w:pStyle w:val="Heading3"/>
        <w:divId w:val="188"/>
      </w:pPr>
      <w:bookmarkStart w:id="95" w:name="_Toc256000046"/>
      <w:r>
        <w:t>Hersteller und Herausgeber</w:t>
      </w:r>
      <w:bookmarkEnd w:id="95"/>
    </w:p>
    <w:p>
      <w:pPr>
        <w:spacing w:before="0" w:after="0"/>
      </w:pPr>
      <w:r>
        <w:rPr>
          <w:vanish/>
        </w:rPr>
        <w:t>Mainline_OPB1/ML-151438</w:t>
      </w:r>
      <w:r>
        <w:rPr>
          <w:b/>
        </w:rPr>
        <w:t>A_25335</w:t>
      </w:r>
      <w:r>
        <w:rPr>
          <w:b/>
        </w:rPr>
        <w:t xml:space="preserve"> - </w:t>
      </w:r>
      <w:r>
        <w:rPr>
          <w:b/>
        </w:rPr>
        <w:t>Hersteller Clientsystem - Hinweise und Maßnahmen sicherer Betrieb</w:t>
      </w:r>
    </w:p>
    <w:p>
      <w:r>
        <w:t>Der Hersteller bzw. Herausgeber eines Clientsystems MUSS den Benutzer über Maßnahmen zum sicheren Betrieb seines Clientsystems vor der Inbetriebnahme informieren und während des Betriebs stets zum Abruf durch den Benutzer bereithalten.</w:t>
      </w:r>
      <w:r>
        <w:rPr>
          <w:b/>
        </w:rPr>
        <w:t>[</w:t>
      </w:r>
      <w:r>
        <w:t>&lt;=</w:t>
      </w:r>
      <w:r>
        <w:rPr>
          <w:b/>
        </w:rPr>
        <w:t>]</w:t>
      </w:r>
    </w:p>
    <w:p>
      <w:pPr>
        <w:spacing w:before="0" w:after="0"/>
      </w:pPr>
      <w:r>
        <w:rPr>
          <w:vanish/>
        </w:rPr>
        <w:t>Mainline_OPB1/ML-151436</w:t>
      </w:r>
      <w:r>
        <w:rPr>
          <w:b/>
        </w:rPr>
        <w:t>A_25336</w:t>
      </w:r>
      <w:r>
        <w:rPr>
          <w:b/>
        </w:rPr>
        <w:t xml:space="preserve"> - </w:t>
      </w:r>
      <w:r>
        <w:rPr>
          <w:b/>
        </w:rPr>
        <w:t>Hersteller Clientsystem - Regelmäßige Updates</w:t>
      </w:r>
    </w:p>
    <w:p>
      <w:r>
        <w:t xml:space="preserve">Der Hersteller bzw. Herausgeber eines Clientsystems MUSS, solange das Produkt nicht abgekündigt ist, </w:t>
      </w:r>
      <w:r>
        <w:commentReference w:id="96"/>
      </w:r>
      <w:r>
        <w:commentReference w:id="97"/>
      </w:r>
      <w:r>
        <w:t xml:space="preserve"> dem Benutzer </w:t>
      </w:r>
      <w:r>
        <w:t xml:space="preserve"> regelmäßig (z. B. quartalsweise) Updates für das Clientsystem bereitstellen, um das Clientsystem dauerhaft auf dem Stand der Technik zu halten und Sicherheitslücken zu schließen.</w:t>
      </w:r>
      <w:r>
        <w:rPr>
          <w:b/>
        </w:rPr>
        <w:t>[</w:t>
      </w:r>
      <w:r>
        <w:t>&lt;=</w:t>
      </w:r>
      <w:r>
        <w:rPr>
          <w:b/>
        </w:rPr>
        <w:t>]</w:t>
      </w:r>
    </w:p>
    <w:p>
      <w:pPr>
        <w:spacing w:before="0" w:after="0"/>
      </w:pPr>
      <w:r>
        <w:rPr>
          <w:vanish/>
        </w:rPr>
        <w:t>Mainline_OPB1/ML-151437</w:t>
      </w:r>
      <w:r>
        <w:rPr>
          <w:b/>
        </w:rPr>
        <w:t>A_25337</w:t>
      </w:r>
      <w:r>
        <w:rPr>
          <w:b/>
        </w:rPr>
        <w:t xml:space="preserve"> - </w:t>
      </w:r>
      <w:r>
        <w:rPr>
          <w:b/>
        </w:rPr>
        <w:t>Hersteller Clientsystem - Registrierung für product_id</w:t>
      </w:r>
    </w:p>
    <w:p>
      <w:r>
        <w:t>Der Hersteller bzw. Herausgeber eines Clientsystems MUSS </w:t>
      </w:r>
      <w:r>
        <w:rPr>
          <w:sz w:val="20"/>
          <w:szCs w:val="20"/>
        </w:rPr>
        <w:t xml:space="preserve">sich über einen organisatorischen Prozess bei der gematik für die Nutzung von Diensten, für welche Token abgerufen werden sollen, registrieren. Der Hersteller bzw. Herausgeber eines Clientsystems bekommt dabei eine "product_id" zugewiesen, die in jeder Instanz des Clientsystems verwendet werden MUSS. </w:t>
      </w:r>
      <w:r>
        <w:rPr>
          <w:sz w:val="20"/>
          <w:szCs w:val="20"/>
        </w:rPr>
        <w:commentReference w:id="98"/>
      </w:r>
      <w:r>
        <w:rPr>
          <w:b/>
        </w:rPr>
        <w:t>[</w:t>
      </w:r>
      <w:r>
        <w:t>&lt;=</w:t>
      </w:r>
      <w:r>
        <w:rPr>
          <w:b/>
        </w:rPr>
        <w:t>]</w:t>
      </w:r>
    </w:p>
    <w:p>
      <w:pPr>
        <w:spacing w:before="0" w:after="0"/>
      </w:pPr>
      <w:r>
        <w:rPr>
          <w:vanish/>
        </w:rPr>
        <w:t>Mainline_OPB1/ML-152388</w:t>
      </w:r>
      <w:r>
        <w:rPr>
          <w:b/>
        </w:rPr>
        <w:t>A_25427</w:t>
      </w:r>
      <w:r>
        <w:rPr>
          <w:b/>
        </w:rPr>
        <w:t xml:space="preserve"> - </w:t>
      </w:r>
      <w:r>
        <w:rPr>
          <w:b/>
        </w:rPr>
        <w:t>Hersteller Clientsystem Android - Google Cloud Projekt</w:t>
      </w:r>
    </w:p>
    <w:p>
      <w:r>
        <w:t xml:space="preserve">Der Hersteller bzw. Herausgeber eines Clientsystems für eine Android-basierte Betriebsumgebung MUSS ein Google Cloud Projekt führen oder eine alternative Plattformattestierung verwenden </w:t>
      </w:r>
      <w:r>
        <w:commentReference w:id="99"/>
      </w:r>
      <w:r>
        <w:t xml:space="preserve">, um Nachweise über die Geräteintegrität einer jeden Clientsysteminstallation beziehen zu können. </w:t>
      </w:r>
      <w:r>
        <w:commentReference w:id="100"/>
      </w:r>
      <w:r>
        <w:rPr>
          <w:b/>
        </w:rPr>
        <w:t>[</w:t>
      </w:r>
      <w:r>
        <w:t>&lt;=</w:t>
      </w:r>
      <w:r>
        <w:rPr>
          <w:b/>
        </w:rPr>
        <w:t>]</w:t>
      </w:r>
    </w:p>
    <w:p>
      <w:pPr>
        <w:pStyle w:val="Heading3"/>
        <w:divId w:val="189"/>
      </w:pPr>
      <w:bookmarkStart w:id="101" w:name="_Toc256000047"/>
      <w:r>
        <w:t>Verbindungsaufbau</w:t>
      </w:r>
      <w:bookmarkEnd w:id="101"/>
    </w:p>
    <w:p>
      <w:pPr>
        <w:spacing w:before="0" w:after="0"/>
      </w:pPr>
      <w:r>
        <w:rPr>
          <w:vanish/>
        </w:rPr>
        <w:t>Mainline_OPB1/ML-151441</w:t>
      </w:r>
      <w:r>
        <w:rPr>
          <w:b/>
        </w:rPr>
        <w:t>A_25338</w:t>
      </w:r>
      <w:r>
        <w:rPr>
          <w:b/>
        </w:rPr>
        <w:t xml:space="preserve"> - </w:t>
      </w:r>
      <w:r>
        <w:rPr>
          <w:b/>
        </w:rPr>
        <w:t>Clientsystem - User-Agent</w:t>
      </w:r>
    </w:p>
    <w:p>
      <w:r>
        <w:rPr>
          <w:sz w:val="20"/>
          <w:szCs w:val="20"/>
        </w:rPr>
        <w:t xml:space="preserve">Das Clientsystem MUSS in allen http-Requests an Dienste der TI den http-Header user-agent gemäß [RFC7231] mit </w:t>
      </w:r>
      <w:r>
        <w:rPr>
          <w:rFonts w:ascii="Courier New" w:hAnsi="Courier New" w:cs="Courier New"/>
          <w:sz w:val="20"/>
          <w:szCs w:val="20"/>
        </w:rPr>
        <w:t xml:space="preserve">&lt;product_id&gt;/&lt;product_version&gt; </w:t>
      </w:r>
      <w:r>
        <w:rPr>
          <w:sz w:val="20"/>
          <w:szCs w:val="20"/>
        </w:rPr>
        <w:t xml:space="preserve"> mit</w:t>
      </w:r>
    </w:p>
    <w:p>
      <w:pPr>
        <w:pStyle w:val="ListParagraph"/>
        <w:numPr>
          <w:ilvl w:val="0"/>
          <w:numId w:val="24"/>
        </w:numPr>
      </w:pPr>
      <w:r>
        <w:t>&lt;product_id&gt; gemäß Registrierung bei der gematik mit Länge maximal 20 Zeichen, Zeichenvorrat [0-9a-zA-Z\-]</w:t>
      </w:r>
    </w:p>
    <w:p>
      <w:pPr>
        <w:pStyle w:val="ListParagraph"/>
        <w:numPr>
          <w:ilvl w:val="0"/>
          <w:numId w:val="24"/>
        </w:numPr>
      </w:pPr>
      <w:r>
        <w:t>&lt;product_version&gt; gemäß Produktidentifikation mit Länge 1-20 Zeichen, Zeichenvorrat [0-9a-zA-Z\-\.]</w:t>
      </w:r>
    </w:p>
    <w:p>
      <w:r>
        <w:rPr>
          <w:sz w:val="20"/>
          <w:szCs w:val="20"/>
        </w:rPr>
        <w:t xml:space="preserve">des Clientsystems befüllen. </w:t>
      </w:r>
      <w:r>
        <w:rPr>
          <w:sz w:val="20"/>
          <w:szCs w:val="20"/>
        </w:rPr>
        <w:commentReference w:id="102"/>
      </w:r>
      <w:r>
        <w:rPr>
          <w:sz w:val="20"/>
          <w:szCs w:val="20"/>
        </w:rPr>
        <w:commentReference w:id="103"/>
      </w:r>
      <w:r>
        <w:commentReference w:id="104"/>
      </w:r>
      <w:r>
        <w:rPr>
          <w:b/>
        </w:rPr>
        <w:t>[</w:t>
      </w:r>
      <w:r>
        <w:t>&lt;=</w:t>
      </w:r>
      <w:r>
        <w:rPr>
          <w:b/>
        </w:rPr>
        <w:t>]</w:t>
      </w:r>
    </w:p>
    <w:p>
      <w:pPr>
        <w:spacing w:before="0" w:after="0"/>
      </w:pPr>
      <w:r>
        <w:rPr>
          <w:vanish/>
        </w:rPr>
        <w:t>Mainline_OPB1/ML-151442</w:t>
      </w:r>
      <w:r>
        <w:rPr>
          <w:b/>
        </w:rPr>
        <w:t>A_25339</w:t>
      </w:r>
      <w:r>
        <w:rPr>
          <w:b/>
        </w:rPr>
        <w:t xml:space="preserve"> - </w:t>
      </w:r>
      <w:r>
        <w:rPr>
          <w:b/>
        </w:rPr>
        <w:t>Clientsystem - Exponential Backoff</w:t>
      </w:r>
    </w:p>
    <w:p>
      <w:r>
        <w:t>Das Clientsystem SOLL bei Server-seitigen Fehlermeldungen, die auf eine Überlastung des Zielsystems schließen lassen (z. B. http-status 5xx, 429 - too many requests etc.), erneute Verbindungsversuche nach dem Prinzip des Exponential Backoffs [ExpBack] durchführen.</w:t>
      </w:r>
      <w:r>
        <w:rPr>
          <w:b/>
        </w:rPr>
        <w:t>[</w:t>
      </w:r>
      <w:r>
        <w:t>&lt;=</w:t>
      </w:r>
      <w:r>
        <w:rPr>
          <w:b/>
        </w:rPr>
        <w:t>]</w:t>
      </w:r>
    </w:p>
    <w:p>
      <w:pPr>
        <w:spacing w:before="0" w:after="0"/>
      </w:pPr>
      <w:r>
        <w:rPr>
          <w:vanish/>
        </w:rPr>
        <w:t>Mainline_OPB1/ML-151439</w:t>
      </w:r>
      <w:r>
        <w:rPr>
          <w:b/>
        </w:rPr>
        <w:t>A_25340</w:t>
      </w:r>
      <w:r>
        <w:rPr>
          <w:b/>
        </w:rPr>
        <w:t xml:space="preserve"> - </w:t>
      </w:r>
      <w:r>
        <w:rPr>
          <w:b/>
        </w:rPr>
        <w:t>Clientsystem - Zertifikatsprüfung</w:t>
      </w:r>
    </w:p>
    <w:p>
      <w:r>
        <w:t xml:space="preserve">Das Clientsystem MUSS alle Zertifikate, die es aktiv verwendet (bspw. TLS-Verbindungsaufbau), auf Integrität und Authentizität prüfen. Falls die Prüfung kein positives Ergebnis ("gültig") liefert, so MUSS es die von dem Zertifikat und den darin enthaltenen Attributen (bspw. öffentliche Schlüssel) abhängenden Arbeitsabläufe ablehnen. </w:t>
      </w:r>
      <w:r>
        <w:commentReference w:id="105"/>
      </w:r>
      <w:r>
        <w:br/>
      </w:r>
      <w:r>
        <w:t xml:space="preserve">Das Clientsysem MUSS alle öffentlichen Schlüssel, die es verwenden will, auf eine positiv verlaufene Zertifikatsprüfung zurückführen können. </w:t>
      </w:r>
      <w:r>
        <w:commentReference w:id="106"/>
      </w:r>
      <w:r>
        <w:rPr>
          <w:b/>
        </w:rPr>
        <w:t>[</w:t>
      </w:r>
      <w:r>
        <w:t>&lt;=</w:t>
      </w:r>
      <w:r>
        <w:rPr>
          <w:b/>
        </w:rPr>
        <w:t>]</w:t>
      </w:r>
    </w:p>
    <w:p>
      <w:pPr>
        <w:spacing w:before="0" w:after="0"/>
      </w:pPr>
      <w:r>
        <w:rPr>
          <w:vanish/>
        </w:rPr>
        <w:t>Mainline_OPB1/ML-151440</w:t>
      </w:r>
      <w:r>
        <w:rPr>
          <w:b/>
        </w:rPr>
        <w:t>A_25341</w:t>
      </w:r>
      <w:r>
        <w:rPr>
          <w:b/>
        </w:rPr>
        <w:t xml:space="preserve"> - </w:t>
      </w:r>
      <w:r>
        <w:rPr>
          <w:b/>
        </w:rPr>
        <w:t>Clientsystem - TLS- oder JWT-Clientauthentisierung</w:t>
      </w:r>
    </w:p>
    <w:p>
      <w:r>
        <w:t>Das Clientsystem MUSS sich in allen http-Requests an der Außenschnittstelle des PEP entweder</w:t>
      </w:r>
    </w:p>
    <w:p>
      <w:pPr>
        <w:pStyle w:val="ListParagraph"/>
        <w:numPr>
          <w:ilvl w:val="0"/>
          <w:numId w:val="25"/>
        </w:numPr>
      </w:pPr>
      <w:r>
        <w:t xml:space="preserve">mittels eines gültigen TLS-Clientzertifikats oder </w:t>
      </w:r>
    </w:p>
    <w:p>
      <w:pPr>
        <w:pStyle w:val="ListParagraph"/>
        <w:numPr>
          <w:ilvl w:val="0"/>
          <w:numId w:val="25"/>
        </w:numPr>
      </w:pPr>
      <w:r>
        <w:t>mittels private JWT und DPoP-Token</w:t>
      </w:r>
    </w:p>
    <w:p>
      <w:r>
        <w:t>als legitimer Client authentisieren. Verfügt das Clientsystem über kein gültiges Clientauthentisierungsmittel, MUSS es den Bezug über die Clientregistrierung starten.</w:t>
      </w:r>
      <w:r>
        <w:rPr>
          <w:b/>
        </w:rPr>
        <w:t>[</w:t>
      </w:r>
      <w:r>
        <w:t>&lt;=</w:t>
      </w:r>
      <w:r>
        <w:rPr>
          <w:b/>
        </w:rPr>
        <w:t>]</w:t>
      </w:r>
    </w:p>
    <w:p>
      <w:pPr>
        <w:pStyle w:val="Heading3"/>
        <w:divId w:val="190"/>
      </w:pPr>
      <w:bookmarkStart w:id="107" w:name="_Toc256000048"/>
      <w:r>
        <w:t>Clientregistrierung</w:t>
      </w:r>
      <w:bookmarkEnd w:id="107"/>
    </w:p>
    <w:tbl>
      <w:tblPr>
        <w:tblStyle w:val="PolarionTableNormal"/>
        <w:tblW w:w="5000" w:type="pct"/>
        <w:jc w:val="left"/>
        <w:tblBorders>
          <w:top w:val="single" w:sz="8" w:space="0" w:color="CCCCCC"/>
          <w:left w:val="single" w:sz="8" w:space="0" w:color="CCCCCC"/>
          <w:bottom w:val="single" w:sz="8" w:space="0" w:color="CCCCCC"/>
          <w:right w:val="single" w:sz="8" w:space="0" w:color="CCCCCC"/>
        </w:tblBorders>
      </w:tblPr>
      <w:tblGrid>
        <w:gridCol w:w="9030"/>
      </w:tblGrid>
      <w:tr>
        <w:tblPrEx>
          <w:tblW w:w="5000" w:type="pct"/>
          <w:jc w:val="left"/>
          <w:tblBorders>
            <w:top w:val="single" w:sz="8" w:space="0" w:color="CCCCCC"/>
            <w:left w:val="single" w:sz="8" w:space="0" w:color="CCCCCC"/>
            <w:bottom w:val="single" w:sz="8" w:space="0" w:color="CCCCCC"/>
            <w:right w:val="single" w:sz="8" w:space="0" w:color="CCCCCC"/>
          </w:tblBorders>
        </w:tblPrEx>
        <w:trPr>
          <w:divId w:val="191"/>
          <w:trHeight w:val="180"/>
          <w:jc w:val="left"/>
        </w:trPr>
        <w:tc>
          <w:tcPr>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i/>
                <w:color w:val="3366FF"/>
              </w:rPr>
              <w:t xml:space="preserve">Offener Punkt: Details in diesem Kapitel werden im Rahmen der Implementierung zwischen gematik und dem Zero-Trust-Hersteller festgelegt. Die Client Registrierung wird dienstübergreifend ermöglichen, dass im Falle von Big Apps der Nutzer nur einmalig aktiv werden muss, um sein Gerät mittels 2. Faktor zu bestätigen. </w:t>
            </w:r>
            <w:r>
              <w:rPr>
                <w:i/>
                <w:color w:val="3366FF"/>
              </w:rPr>
              <w:commentReference w:id="108"/>
            </w:r>
            <w:r>
              <w:rPr>
                <w:i/>
                <w:color w:val="3366FF"/>
              </w:rPr>
              <w:t> </w:t>
            </w:r>
          </w:p>
        </w:tc>
      </w:tr>
    </w:tbl>
    <w:p>
      <w:pPr>
        <w:spacing w:before="0" w:after="0"/>
      </w:pPr>
      <w:r>
        <w:rPr>
          <w:vanish/>
        </w:rPr>
        <w:t>Mainline_OPB1/ML-152408</w:t>
      </w:r>
      <w:r>
        <w:rPr>
          <w:b/>
        </w:rPr>
        <w:t>A_25432</w:t>
      </w:r>
      <w:r>
        <w:rPr>
          <w:b/>
        </w:rPr>
        <w:t xml:space="preserve"> - </w:t>
      </w:r>
      <w:r>
        <w:rPr>
          <w:b/>
        </w:rPr>
        <w:t>Clientsystem - Ablauf Clientregistrierung</w:t>
      </w:r>
    </w:p>
    <w:p>
      <w:r>
        <w:t>Das Clientsystem MUSS, sofern es an Schnittstellen der Telematikinfrastruktur wegen einer ungültigen/fehlenden Geräte/App-Registrierung abgewiesen wird, eine Registrierung am Service der Client Registry durchführen, in dem es</w:t>
      </w:r>
    </w:p>
    <w:p>
      <w:pPr>
        <w:pStyle w:val="ListParagraph"/>
        <w:numPr>
          <w:ilvl w:val="0"/>
          <w:numId w:val="26"/>
        </w:numPr>
      </w:pPr>
      <w:r>
        <w:t>den/die Benutzer:in mittels OpenID Connect authentifiziert,</w:t>
      </w:r>
    </w:p>
    <w:p>
      <w:pPr>
        <w:pStyle w:val="ListParagraph"/>
        <w:numPr>
          <w:ilvl w:val="0"/>
          <w:numId w:val="26"/>
        </w:numPr>
      </w:pPr>
      <w:r>
        <w:t>kryptografische Client-Credentials lokal generiert, </w:t>
      </w:r>
    </w:p>
    <w:p>
      <w:pPr>
        <w:pStyle w:val="ListParagraph"/>
        <w:numPr>
          <w:ilvl w:val="0"/>
          <w:numId w:val="26"/>
        </w:numPr>
      </w:pPr>
      <w:r>
        <w:t>die generierten Credentials sowie die Clientintegrität attestiert und</w:t>
      </w:r>
    </w:p>
    <w:p>
      <w:pPr>
        <w:pStyle w:val="ListParagraph"/>
        <w:numPr>
          <w:ilvl w:val="0"/>
          <w:numId w:val="26"/>
        </w:numPr>
      </w:pPr>
      <w:r>
        <w:t>eine zusätzliche Benutzerbestätigung mittels One-Time-Passwort über einen zweiten Kommunikationsweg (z. B. E-Mailbestätigung) startet</w:t>
      </w:r>
    </w:p>
    <w:p>
      <w:r>
        <w:rPr>
          <w:b/>
        </w:rPr>
        <w:t>[</w:t>
      </w:r>
      <w:r>
        <w:t>&lt;=</w:t>
      </w:r>
      <w:r>
        <w:rPr>
          <w:b/>
        </w:rPr>
        <w:t>]</w:t>
      </w:r>
    </w:p>
    <w:p>
      <w:pPr>
        <w:spacing w:before="0" w:after="0"/>
      </w:pPr>
      <w:r>
        <w:rPr>
          <w:vanish/>
        </w:rPr>
        <w:t>Mainline_OPB1/ML-153916</w:t>
      </w:r>
      <w:r>
        <w:rPr>
          <w:b/>
        </w:rPr>
        <w:t>A_25766</w:t>
      </w:r>
      <w:r>
        <w:rPr>
          <w:b/>
        </w:rPr>
        <w:t xml:space="preserve"> - </w:t>
      </w:r>
      <w:r>
        <w:rPr>
          <w:b/>
        </w:rPr>
        <w:t>Clientsystem - Client Credentials in TI Qualität</w:t>
      </w:r>
    </w:p>
    <w:p>
      <w:r>
        <w:t xml:space="preserve">Das Clientsystem MUSS die Client-Credentials im Form von kryptografischen Schlüsseln gemäß der Festlegungen in [gemSpec_Krypt] (Verfahren, Algorithmen, Schlüssellängen etc.) unterstützen. </w:t>
      </w:r>
      <w:r>
        <w:commentReference w:id="109"/>
      </w:r>
      <w:r>
        <w:commentReference w:id="110"/>
      </w:r>
      <w:r>
        <w:rPr>
          <w:b/>
        </w:rPr>
        <w:t>[</w:t>
      </w:r>
      <w:r>
        <w:t>&lt;=</w:t>
      </w:r>
      <w:r>
        <w:rPr>
          <w:b/>
        </w:rPr>
        <w:t>]</w:t>
      </w:r>
    </w:p>
    <w:p>
      <w:pPr>
        <w:spacing w:before="0" w:after="0"/>
      </w:pPr>
      <w:r>
        <w:rPr>
          <w:vanish/>
        </w:rPr>
        <w:t>Mainline_OPB1/ML-153923</w:t>
      </w:r>
      <w:r>
        <w:rPr>
          <w:b/>
        </w:rPr>
        <w:t>A_25769</w:t>
      </w:r>
      <w:r>
        <w:rPr>
          <w:b/>
        </w:rPr>
        <w:t xml:space="preserve"> - </w:t>
      </w:r>
      <w:r>
        <w:rPr>
          <w:b/>
        </w:rPr>
        <w:t>Clientsystem - Client Credentials sicher generieren und schützen</w:t>
      </w:r>
    </w:p>
    <w:p>
      <w:r>
        <w:t xml:space="preserve">Das Clientsystem auf mobilem Gerät mit Apple- oder Android-basierter Betriebsumgebung MUSS die Generierung der Client-Credentials in Hardware-Modulen (alternativ Android TEE) </w:t>
      </w:r>
      <w:r>
        <w:commentReference w:id="111"/>
      </w:r>
      <w:r>
        <w:commentReference w:id="112"/>
      </w:r>
      <w:r>
        <w:t xml:space="preserve"> derart generieren und speichern, dass ein Kopieren und Exportieren der Schlüssel durch die Hardware (alternativ Android TEE) verhindert wird.</w:t>
      </w:r>
      <w:r>
        <w:rPr>
          <w:b/>
        </w:rPr>
        <w:t>[</w:t>
      </w:r>
      <w:r>
        <w:t>&lt;=</w:t>
      </w:r>
      <w:r>
        <w:rPr>
          <w:b/>
        </w:rPr>
        <w:t>]</w:t>
      </w:r>
    </w:p>
    <w:p>
      <w:pPr>
        <w:spacing w:before="0" w:after="0"/>
      </w:pPr>
      <w:r>
        <w:rPr>
          <w:vanish/>
        </w:rPr>
        <w:t>Mainline_OPB1/ML-153922</w:t>
      </w:r>
      <w:r>
        <w:rPr>
          <w:b/>
        </w:rPr>
        <w:t>A_25770</w:t>
      </w:r>
      <w:r>
        <w:rPr>
          <w:b/>
        </w:rPr>
        <w:t xml:space="preserve"> - </w:t>
      </w:r>
      <w:r>
        <w:rPr>
          <w:b/>
        </w:rPr>
        <w:t>Clientsystem - Client Credentials Rotation</w:t>
      </w:r>
    </w:p>
    <w:p>
      <w:r>
        <w:t>Das Clientsystem MUSS seine Client-Credentials regelmäßig rotieren (erneuern und neu registrieren), wobei die Häufigkeit der Rotation durch die gematik nach einer Auswertung der initialen Benutzererfahrung festgelegt wird.</w:t>
      </w:r>
      <w:r>
        <w:rPr>
          <w:b/>
        </w:rPr>
        <w:t>[</w:t>
      </w:r>
      <w:r>
        <w:t>&lt;=</w:t>
      </w:r>
      <w:r>
        <w:rPr>
          <w:b/>
        </w:rPr>
        <w:t>]</w:t>
      </w:r>
    </w:p>
    <w:p>
      <w:pPr>
        <w:divId w:val="192"/>
      </w:pPr>
      <w:r>
        <w:rPr>
          <w:i/>
        </w:rPr>
        <w:t>Hinweis: Perspektivisch werden weitere Attestierungsmechanismen für Clientsysteme aufgenommen, z. B. FIDO2, TPM2.</w:t>
      </w:r>
    </w:p>
    <w:p>
      <w:pPr>
        <w:spacing w:before="0" w:after="0"/>
      </w:pPr>
      <w:r>
        <w:rPr>
          <w:vanish/>
        </w:rPr>
        <w:t>Mainline_OPB1/ML-153917</w:t>
      </w:r>
      <w:r>
        <w:rPr>
          <w:b/>
        </w:rPr>
        <w:t>A_25767</w:t>
      </w:r>
      <w:r>
        <w:rPr>
          <w:b/>
        </w:rPr>
        <w:t xml:space="preserve"> - </w:t>
      </w:r>
      <w:r>
        <w:rPr>
          <w:b/>
        </w:rPr>
        <w:t>Clientsystem - Clientkey in JWT oder Zertifikat</w:t>
      </w:r>
    </w:p>
    <w:p>
      <w:r>
        <w:t>Das Clientsystem MUSS wahlweise Private Key JWT [RFC7521] und [RFC7523] sowie DPoP [RFC9449] oder mutual TLS [RFC8705] zur Authentifizierung unterstützen.</w:t>
      </w:r>
      <w:r>
        <w:rPr>
          <w:b/>
        </w:rPr>
        <w:t>[</w:t>
      </w:r>
      <w:r>
        <w:t>&lt;=</w:t>
      </w:r>
      <w:r>
        <w:rPr>
          <w:b/>
        </w:rPr>
        <w:t>]</w:t>
      </w:r>
    </w:p>
    <w:p>
      <w:pPr>
        <w:spacing w:before="0" w:after="0"/>
      </w:pPr>
      <w:r>
        <w:rPr>
          <w:vanish/>
        </w:rPr>
        <w:t>Mainline_OPB1/ML-152417</w:t>
      </w:r>
      <w:r>
        <w:rPr>
          <w:b/>
        </w:rPr>
        <w:t>A_25434</w:t>
      </w:r>
      <w:r>
        <w:rPr>
          <w:b/>
        </w:rPr>
        <w:t xml:space="preserve"> - </w:t>
      </w:r>
      <w:r>
        <w:rPr>
          <w:b/>
        </w:rPr>
        <w:t>Clientsystem - Clientregistrierung mit bestätigten Umgebungseigenschaften Android</w:t>
      </w:r>
    </w:p>
    <w:p>
      <w:r>
        <w:t xml:space="preserve">Das Clientsystem für eine Android-basierte Betriebsumgebung MUSS seine Client-Credentials, App-Integrität und -Authentizität sowie </w:t>
      </w:r>
      <w:r>
        <w:rPr>
          <w:color w:val="000000"/>
          <w:sz w:val="20"/>
          <w:szCs w:val="20"/>
        </w:rPr>
        <w:t>OS-/FW und HW-Eigenschaften</w:t>
      </w:r>
      <w:r>
        <w:t xml:space="preserve"> über Key and ID Attestation gegenüber PEP Client Registrierung bestätigen..</w:t>
      </w:r>
      <w:r>
        <w:rPr>
          <w:b/>
        </w:rPr>
        <w:t>[</w:t>
      </w:r>
      <w:r>
        <w:t>&lt;=</w:t>
      </w:r>
      <w:r>
        <w:rPr>
          <w:b/>
        </w:rPr>
        <w:t>]</w:t>
      </w:r>
    </w:p>
    <w:p>
      <w:pPr>
        <w:spacing w:before="0" w:after="0"/>
      </w:pPr>
      <w:r>
        <w:rPr>
          <w:vanish/>
        </w:rPr>
        <w:t>Mainline_OPB1/ML-153919</w:t>
      </w:r>
      <w:r>
        <w:rPr>
          <w:b/>
        </w:rPr>
        <w:t>A_25768</w:t>
      </w:r>
      <w:r>
        <w:rPr>
          <w:b/>
        </w:rPr>
        <w:t xml:space="preserve"> - </w:t>
      </w:r>
      <w:r>
        <w:rPr>
          <w:b/>
        </w:rPr>
        <w:t>Clientsystem - Clientregistrierung mit bestätigten Umgebungseigenschaften Apple</w:t>
      </w:r>
    </w:p>
    <w:p>
      <w:r>
        <w:t xml:space="preserve">Das Clientsystem für eine Apple-basierte Betriebsumgebung (iOS, macOS) MUSS die Client-Credentials, App Integrität und Authentizität über DCAppAttest gegenüber PEP Client Registrierung bestätigen. Eigenschaften der Laufzeitumgebung </w:t>
      </w:r>
      <w:r>
        <w:t xml:space="preserve"> MÜSSEN durch das Clientsystem über einen geprüften Prozess bestätigt werden.</w:t>
      </w:r>
      <w:r>
        <w:rPr>
          <w:b/>
        </w:rPr>
        <w:t>[</w:t>
      </w:r>
      <w:r>
        <w:t>&lt;=</w:t>
      </w:r>
      <w:r>
        <w:rPr>
          <w:b/>
        </w:rPr>
        <w:t>]</w:t>
      </w:r>
    </w:p>
    <w:p>
      <w:pPr>
        <w:spacing w:before="0" w:after="0"/>
      </w:pPr>
      <w:r>
        <w:rPr>
          <w:vanish/>
        </w:rPr>
        <w:t>Mainline_OPB1/ML-153904</w:t>
      </w:r>
      <w:r>
        <w:rPr>
          <w:b/>
        </w:rPr>
        <w:t>A_25758</w:t>
      </w:r>
      <w:r>
        <w:rPr>
          <w:b/>
        </w:rPr>
        <w:t xml:space="preserve"> - </w:t>
      </w:r>
      <w:r>
        <w:rPr>
          <w:b/>
        </w:rPr>
        <w:t>Clientsystem - Erfassung Kontaktinformation für Offband-Verifikation</w:t>
      </w:r>
    </w:p>
    <w:p>
      <w:r>
        <w:t>Das Clientsystem MUSS vom Benutzer eine strukturell valide Kontaktinformation (E-Mailadresse, Telefonnummer) abfragen und für eine Offband-Verifikation (Trust on First Use) an Endpunkt der Client Registry übertragen.</w:t>
      </w:r>
      <w:r>
        <w:rPr>
          <w:b/>
        </w:rPr>
        <w:t>[</w:t>
      </w:r>
      <w:r>
        <w:t>&lt;=</w:t>
      </w:r>
      <w:r>
        <w:rPr>
          <w:b/>
        </w:rPr>
        <w:t>]</w:t>
      </w:r>
    </w:p>
    <w:p>
      <w:pPr>
        <w:spacing w:before="0" w:after="0"/>
      </w:pPr>
      <w:r>
        <w:rPr>
          <w:vanish/>
        </w:rPr>
        <w:t>Mainline_OPB1/ML-153832</w:t>
      </w:r>
      <w:r>
        <w:rPr>
          <w:b/>
        </w:rPr>
        <w:t>A_25732</w:t>
      </w:r>
      <w:r>
        <w:rPr>
          <w:b/>
        </w:rPr>
        <w:t xml:space="preserve"> - </w:t>
      </w:r>
      <w:r>
        <w:rPr>
          <w:b/>
        </w:rPr>
        <w:t>Clientsystem - Unterstützung des Nutzers bei der Registrierung</w:t>
      </w:r>
    </w:p>
    <w:p>
      <w:r>
        <w:t>Das Clientsystem MUSS den Nutzer bei der Clientregistrierung und -Verwaltung geeignet unterstützen (z. B. mittels Guide, Tutorial o. ä.).</w:t>
      </w:r>
      <w:r>
        <w:rPr>
          <w:b/>
        </w:rPr>
        <w:t>[</w:t>
      </w:r>
      <w:r>
        <w:t>&lt;=</w:t>
      </w:r>
      <w:r>
        <w:rPr>
          <w:b/>
        </w:rPr>
        <w:t>]</w:t>
      </w:r>
    </w:p>
    <w:p>
      <w:pPr>
        <w:spacing w:before="0" w:after="0"/>
      </w:pPr>
      <w:r>
        <w:rPr>
          <w:vanish/>
        </w:rPr>
        <w:t>Mainline_OPB1/ML-153835</w:t>
      </w:r>
      <w:r>
        <w:rPr>
          <w:b/>
        </w:rPr>
        <w:t>A_25733</w:t>
      </w:r>
      <w:r>
        <w:rPr>
          <w:b/>
        </w:rPr>
        <w:t xml:space="preserve"> - </w:t>
      </w:r>
      <w:r>
        <w:rPr>
          <w:b/>
        </w:rPr>
        <w:t>Clientsystem - Clientverwaltung und manuelle De-Registrierung</w:t>
      </w:r>
    </w:p>
    <w:p>
      <w:r>
        <w:t>Das Clientsystem MUSS dem Nutzer eine Übersicht aller beim Clientregistrierungsdienst registrierten Clients darstellen und die Möglichkeit zur De-Registrierung einzelner Clients anbieten.</w:t>
      </w:r>
      <w:r>
        <w:rPr>
          <w:b/>
        </w:rPr>
        <w:t>[</w:t>
      </w:r>
      <w:r>
        <w:t>&lt;=</w:t>
      </w:r>
      <w:r>
        <w:rPr>
          <w:b/>
        </w:rPr>
        <w:t>]</w:t>
      </w:r>
    </w:p>
    <w:p>
      <w:pPr>
        <w:spacing w:before="0" w:after="0"/>
      </w:pPr>
      <w:r>
        <w:rPr>
          <w:vanish/>
        </w:rPr>
        <w:t>Mainline_OPB1/ML-153833</w:t>
      </w:r>
      <w:r>
        <w:rPr>
          <w:b/>
        </w:rPr>
        <w:t>A_25734</w:t>
      </w:r>
      <w:r>
        <w:rPr>
          <w:b/>
        </w:rPr>
        <w:t xml:space="preserve"> - </w:t>
      </w:r>
      <w:r>
        <w:rPr>
          <w:b/>
        </w:rPr>
        <w:t>Clientsystem - Zugriffsprotokoll Clientregistrierung</w:t>
      </w:r>
    </w:p>
    <w:p>
      <w:r>
        <w:t>Das Clientsystem MUSS dem Nutzer einen Einblick in das Zugriffsprotokoll der Schnittstellen des Clientregistrierungsdienstes für genutzte Clients dieses Nutzers geben.</w:t>
      </w:r>
      <w:r>
        <w:rPr>
          <w:b/>
        </w:rPr>
        <w:t>[</w:t>
      </w:r>
      <w:r>
        <w:t>&lt;=</w:t>
      </w:r>
      <w:r>
        <w:rPr>
          <w:b/>
        </w:rPr>
        <w:t>]</w:t>
      </w:r>
    </w:p>
    <w:p>
      <w:pPr>
        <w:spacing w:before="0" w:after="0"/>
      </w:pPr>
      <w:r>
        <w:rPr>
          <w:vanish/>
        </w:rPr>
        <w:t>Mainline_OPB1/ML-153834</w:t>
      </w:r>
      <w:r>
        <w:rPr>
          <w:b/>
        </w:rPr>
        <w:t>A_25735</w:t>
      </w:r>
      <w:r>
        <w:rPr>
          <w:b/>
        </w:rPr>
        <w:t xml:space="preserve"> - </w:t>
      </w:r>
      <w:r>
        <w:rPr>
          <w:b/>
        </w:rPr>
        <w:t>Clientsystem - Aktivierung Push-Benachrichtigung</w:t>
      </w:r>
    </w:p>
    <w:p>
      <w:r>
        <w:t>Das Clientsystem MUSS dem Nutzer die Möglichkeit geben, Push-Benachrichtigungen für Aktivitäten über registrierte Clients und Neuregistrierungen für diesen Nutzer zu aktivieren.</w:t>
      </w:r>
      <w:r>
        <w:rPr>
          <w:b/>
        </w:rPr>
        <w:t>[</w:t>
      </w:r>
      <w:r>
        <w:t>&lt;=</w:t>
      </w:r>
      <w:r>
        <w:rPr>
          <w:b/>
        </w:rPr>
        <w:t>]</w:t>
      </w:r>
    </w:p>
    <w:p>
      <w:pPr>
        <w:pStyle w:val="Heading3"/>
        <w:divId w:val="193"/>
      </w:pPr>
      <w:bookmarkStart w:id="113" w:name="_Toc256000049"/>
      <w:r>
        <w:t>Nutzerauthentifizierung</w:t>
      </w:r>
      <w:bookmarkEnd w:id="113"/>
    </w:p>
    <w:p>
      <w:pPr>
        <w:spacing w:before="0" w:after="0"/>
      </w:pPr>
      <w:r>
        <w:rPr>
          <w:vanish/>
        </w:rPr>
        <w:t>Mainline_OPB1/ML-153911</w:t>
      </w:r>
      <w:r>
        <w:rPr>
          <w:b/>
        </w:rPr>
        <w:t>A_25761</w:t>
      </w:r>
      <w:r>
        <w:rPr>
          <w:b/>
        </w:rPr>
        <w:t xml:space="preserve"> - </w:t>
      </w:r>
      <w:r>
        <w:rPr>
          <w:b/>
        </w:rPr>
        <w:t>Clientsystem - Nutzerauthentifizierung mittels etablierter Standards</w:t>
      </w:r>
    </w:p>
    <w:p>
      <w:r>
        <w:t>Das Clientsystem MUSS die Mechanismen OAuth2, OpenID Connect und OpenID Federation (Auswahl des zuständigen sektoralen IDP) unterstützen.  </w:t>
      </w:r>
      <w:r>
        <w:rPr>
          <w:b/>
        </w:rPr>
        <w:t>[</w:t>
      </w:r>
      <w:r>
        <w:t>&lt;=</w:t>
      </w:r>
      <w:r>
        <w:rPr>
          <w:b/>
        </w:rPr>
        <w:t>]</w:t>
      </w:r>
    </w:p>
    <w:p>
      <w:pPr>
        <w:divId w:val="194"/>
      </w:pPr>
      <w:r>
        <w:rPr>
          <w:i/>
        </w:rPr>
        <w:t xml:space="preserve">Hinweis: Perspektivisch sollen Clientsysteme auch OpenID for Verifiable Credentials (OIDC4VC) </w:t>
      </w:r>
      <w:r>
        <w:rPr>
          <w:i/>
        </w:rPr>
        <w:commentReference w:id="114"/>
      </w:r>
      <w:r>
        <w:rPr>
          <w:i/>
        </w:rPr>
        <w:t xml:space="preserve"> unterstützen.</w:t>
      </w:r>
    </w:p>
    <w:p>
      <w:pPr>
        <w:spacing w:before="0" w:after="0"/>
      </w:pPr>
      <w:r>
        <w:rPr>
          <w:vanish/>
        </w:rPr>
        <w:t>Mainline_OPB1/ML-153912</w:t>
      </w:r>
      <w:r>
        <w:rPr>
          <w:b/>
        </w:rPr>
        <w:t>A_25762</w:t>
      </w:r>
      <w:r>
        <w:rPr>
          <w:b/>
        </w:rPr>
        <w:t xml:space="preserve"> - </w:t>
      </w:r>
      <w:r>
        <w:rPr>
          <w:b/>
        </w:rPr>
        <w:t>Clientsystem - Nutzerauthentifizierung - Unterstützung etablierter Identitäten und Dienste</w:t>
      </w:r>
    </w:p>
    <w:p>
      <w:r>
        <w:t>Das Clientsystem MUSS zur Authentifizierung des Nutzers mindestens eines der folgenden Verfahren unterstützen:</w:t>
      </w:r>
    </w:p>
    <w:p>
      <w:pPr>
        <w:pStyle w:val="ListParagraph"/>
        <w:numPr>
          <w:ilvl w:val="0"/>
          <w:numId w:val="27"/>
        </w:numPr>
      </w:pPr>
      <w:r>
        <w:t>Authentifizierung des Nutzers gegenüber einem Sektoralen IDP der IDP Föderation gemäß [gemSpec_IDP_Sek] (GesundheitsID)</w:t>
      </w:r>
    </w:p>
    <w:p>
      <w:pPr>
        <w:pStyle w:val="ListParagraph"/>
        <w:numPr>
          <w:ilvl w:val="0"/>
          <w:numId w:val="27"/>
        </w:numPr>
      </w:pPr>
      <w:r>
        <w:t>Authentifizierung des Nutzers gegenüber dem zentralen IDP-Dienst der TI gemäß [gemSpec_IDP_Dienst] (SmartCardIDP für kartengebundene Identitäten).</w:t>
      </w:r>
    </w:p>
    <w:p>
      <w:pPr>
        <w:pStyle w:val="ListParagraph"/>
        <w:numPr>
          <w:ilvl w:val="0"/>
          <w:numId w:val="27"/>
        </w:numPr>
      </w:pPr>
      <w:r>
        <w:t>Authentifizierung des Nutzers mittels SM-B signiertem Client Assertion JWT und DPoP gemäß [RFC7523] und [RFC9449].</w:t>
      </w:r>
    </w:p>
    <w:p>
      <w:r>
        <w:rPr>
          <w:b/>
        </w:rPr>
        <w:t>[</w:t>
      </w:r>
      <w:r>
        <w:t>&lt;=</w:t>
      </w:r>
      <w:r>
        <w:rPr>
          <w:b/>
        </w:rPr>
        <w:t>]</w:t>
      </w:r>
    </w:p>
    <w:p>
      <w:pPr>
        <w:pStyle w:val="Heading3"/>
        <w:divId w:val="195"/>
      </w:pPr>
      <w:bookmarkStart w:id="115" w:name="_Toc256000050"/>
      <w:r>
        <w:t>Session Management</w:t>
      </w:r>
      <w:bookmarkEnd w:id="115"/>
    </w:p>
    <w:p>
      <w:pPr>
        <w:spacing w:before="0" w:after="0"/>
      </w:pPr>
      <w:r>
        <w:rPr>
          <w:vanish/>
        </w:rPr>
        <w:t>Mainline_OPB1/ML-153946</w:t>
      </w:r>
      <w:r>
        <w:rPr>
          <w:b/>
        </w:rPr>
        <w:t>A_25781</w:t>
      </w:r>
      <w:r>
        <w:rPr>
          <w:b/>
        </w:rPr>
        <w:t xml:space="preserve"> - </w:t>
      </w:r>
      <w:r>
        <w:rPr>
          <w:b/>
        </w:rPr>
        <w:t>Clientsysteme - OAuth2 Autorisierung</w:t>
      </w:r>
    </w:p>
    <w:p>
      <w:r>
        <w:t>Das Clientsystem MUSS die Rolle eines OAuth2 Clients [RFC6749] übernehmen und eine Autorisierung vom Autorisation Server einholen. Dabei MUSS PKCE Flow [RFC7636] verwendet werden. </w:t>
      </w:r>
      <w:r>
        <w:br/>
      </w:r>
      <w:r>
        <w:t>​​</w:t>
      </w:r>
      <w:r>
        <w:rPr>
          <w:b/>
        </w:rPr>
        <w:t>[</w:t>
      </w:r>
      <w:r>
        <w:t>&lt;=</w:t>
      </w:r>
      <w:r>
        <w:rPr>
          <w:b/>
        </w:rPr>
        <w:t>]</w:t>
      </w:r>
    </w:p>
    <w:p>
      <w:pPr>
        <w:spacing w:before="0" w:after="0"/>
      </w:pPr>
      <w:r>
        <w:rPr>
          <w:vanish/>
        </w:rPr>
        <w:t>Mainline_OPB1/ML-153947</w:t>
      </w:r>
      <w:r>
        <w:rPr>
          <w:b/>
        </w:rPr>
        <w:t>A_25782</w:t>
      </w:r>
      <w:r>
        <w:rPr>
          <w:b/>
        </w:rPr>
        <w:t xml:space="preserve"> - </w:t>
      </w:r>
      <w:r>
        <w:rPr>
          <w:b/>
        </w:rPr>
        <w:t>Clientsystem - OAuth2 Session Management</w:t>
      </w:r>
    </w:p>
    <w:p>
      <w:r>
        <w:t>Das Clientsystem MUSS</w:t>
      </w:r>
    </w:p>
    <w:p>
      <w:pPr>
        <w:pStyle w:val="ListParagraph"/>
        <w:numPr>
          <w:ilvl w:val="0"/>
          <w:numId w:val="28"/>
        </w:numPr>
      </w:pPr>
      <w:r>
        <w:t xml:space="preserve">die vom Autorisation Server ausgestellten Access- und Refresh-Token gemäß [RFC6749#1.5] sowie die DPoP Schlüssel gemäß [RFC9449] bis zur nächsten Aufforderung zur Autorisierung oder Authentifizierung als User-Session sicher aufbewahren, </w:t>
      </w:r>
    </w:p>
    <w:p>
      <w:pPr>
        <w:pStyle w:val="ListParagraph"/>
        <w:numPr>
          <w:ilvl w:val="0"/>
          <w:numId w:val="28"/>
        </w:numPr>
      </w:pPr>
      <w:r>
        <w:t>regelmäßig neue Access-Token über Refresh-Token erneuern und</w:t>
      </w:r>
    </w:p>
    <w:p>
      <w:pPr>
        <w:pStyle w:val="ListParagraph"/>
        <w:numPr>
          <w:ilvl w:val="0"/>
          <w:numId w:val="28"/>
        </w:numPr>
      </w:pPr>
      <w:r>
        <w:t>eine Refresh-Token-Rotation gemäß [RFC6749#10.4] unterstützen.</w:t>
      </w:r>
    </w:p>
    <w:p>
      <w:r>
        <w:rPr>
          <w:b/>
        </w:rPr>
        <w:t>[</w:t>
      </w:r>
      <w:r>
        <w:t>&lt;=</w:t>
      </w:r>
      <w:r>
        <w:rPr>
          <w:b/>
        </w:rPr>
        <w:t>]</w:t>
      </w:r>
    </w:p>
    <w:p>
      <w:pPr>
        <w:spacing w:before="0" w:after="0"/>
      </w:pPr>
      <w:r>
        <w:rPr>
          <w:vanish/>
        </w:rPr>
        <w:t>Mainline_OPB1/ML-153948</w:t>
      </w:r>
      <w:r>
        <w:rPr>
          <w:b/>
        </w:rPr>
        <w:t>A_25783</w:t>
      </w:r>
      <w:r>
        <w:rPr>
          <w:b/>
        </w:rPr>
        <w:t xml:space="preserve"> - </w:t>
      </w:r>
      <w:r>
        <w:rPr>
          <w:b/>
        </w:rPr>
        <w:t>Clientsystem - Anweisungen aus http Response Status Codes und Header folgen</w:t>
      </w:r>
    </w:p>
    <w:p>
      <w:r>
        <w:t>Das Clientsystem MUSS die http Response Status Codes und http Header entsprechend der Vorgaben der Fachdienste und Zero Trust APIs auswerten und den Anweisungen daraus folgen und insbesondere</w:t>
      </w:r>
    </w:p>
    <w:p>
      <w:pPr>
        <w:pStyle w:val="ListParagraph"/>
        <w:numPr>
          <w:ilvl w:val="0"/>
          <w:numId w:val="29"/>
        </w:numPr>
      </w:pPr>
      <w:r>
        <w:t>eine Step-Up- oder erneute Authentifizierung des Nutzers,</w:t>
      </w:r>
    </w:p>
    <w:p>
      <w:pPr>
        <w:pStyle w:val="ListParagraph"/>
        <w:numPr>
          <w:ilvl w:val="0"/>
          <w:numId w:val="29"/>
        </w:numPr>
      </w:pPr>
      <w:r>
        <w:t>eine Re-Autorisierung und erneute Attestation der Client-Instanz,</w:t>
      </w:r>
    </w:p>
    <w:p>
      <w:pPr>
        <w:pStyle w:val="ListParagraph"/>
        <w:numPr>
          <w:ilvl w:val="0"/>
          <w:numId w:val="29"/>
        </w:numPr>
      </w:pPr>
      <w:r>
        <w:t>eine Anzeige der Warnungen aufgrund der Policy Entscheidungen und</w:t>
      </w:r>
    </w:p>
    <w:p>
      <w:pPr>
        <w:pStyle w:val="ListParagraph"/>
        <w:numPr>
          <w:ilvl w:val="0"/>
          <w:numId w:val="29"/>
        </w:numPr>
      </w:pPr>
      <w:r>
        <w:t>ein Nonce-Replay gemäß [RFC8555#6.5.1]</w:t>
      </w:r>
    </w:p>
    <w:p>
      <w:r>
        <w:t>umsetzen.</w:t>
      </w:r>
      <w:r>
        <w:rPr>
          <w:b/>
        </w:rPr>
        <w:t>[</w:t>
      </w:r>
      <w:r>
        <w:t>&lt;=</w:t>
      </w:r>
      <w:r>
        <w:rPr>
          <w:b/>
        </w:rPr>
        <w:t>]</w:t>
      </w:r>
    </w:p>
    <w:p>
      <w:pPr>
        <w:pStyle w:val="Heading2"/>
        <w:divId w:val="196"/>
      </w:pPr>
      <w:bookmarkStart w:id="116" w:name="_Toc256000051"/>
      <w:r>
        <w:t>Zero Trust Cluster</w:t>
      </w:r>
      <w:bookmarkEnd w:id="116"/>
    </w:p>
    <w:p>
      <w:pPr>
        <w:divId w:val="197"/>
      </w:pPr>
      <w:r>
        <w:t xml:space="preserve">Die Software des Zero Trust Clusters wird im Auftrag der gematik entwickelt und als signierte Docker Container in einer gematik Container Registry sowie mit Kubernetes Manifest Dateien in einem gematik GitHub Repository bereitgestellt, sodass die Betreiber von TI 2.0 Diensten ihren spezifischen ZT Cluster darauf aufbauend als Kubernetes Cluster konfigurieren können. Die ZT Cluster-Konfiguration muss in ein GitHub Repository der gematik als git submodule verlinkt werden. Der Cluster Management Service des Zero Trust Clusters setzt durch, dass nur die im gematik GitHub Repository verlinkte ZT Cluster Konfiguration ausgeführt werden kann. Dadurch ist es möglich, dass der Betreiber seine Cluster-Konfiguration selbständig anpassen und die gematik den korrekten Einsatz des ZT Clusters prüfen kann. </w:t>
      </w:r>
      <w:r>
        <w:commentReference w:id="117"/>
      </w:r>
    </w:p>
    <w:p>
      <w:pPr>
        <w:spacing w:before="0" w:after="0"/>
      </w:pPr>
      <w:r>
        <w:rPr>
          <w:vanish/>
        </w:rPr>
        <w:t>Mainline_OPB1/ML-156231</w:t>
      </w:r>
      <w:r>
        <w:rPr>
          <w:b/>
        </w:rPr>
        <w:t>A_26106</w:t>
      </w:r>
      <w:r>
        <w:rPr>
          <w:b/>
        </w:rPr>
        <w:t xml:space="preserve"> - </w:t>
      </w:r>
      <w:r>
        <w:rPr>
          <w:b/>
        </w:rPr>
        <w:t>ZT Cluster, Verwendung der gematik Docker Container</w:t>
      </w:r>
    </w:p>
    <w:p>
      <w:r>
        <w:t>Der Betreiber eines TI 2.0 Dienstes MUSS für seinen ZT Cluster die von der gematik bereitgestellten signierten Docker Container für PEP, PDP, Cluster Management Service und Telemetrie-Daten Service verwenden.</w:t>
      </w:r>
      <w:r>
        <w:rPr>
          <w:b/>
        </w:rPr>
        <w:t>[</w:t>
      </w:r>
      <w:r>
        <w:t>&lt;=</w:t>
      </w:r>
      <w:r>
        <w:rPr>
          <w:b/>
        </w:rPr>
        <w:t>]</w:t>
      </w:r>
    </w:p>
    <w:p>
      <w:pPr>
        <w:spacing w:before="0" w:after="0"/>
      </w:pPr>
      <w:r>
        <w:rPr>
          <w:vanish/>
        </w:rPr>
        <w:t>Mainline_OPB1/ML-156229</w:t>
      </w:r>
      <w:r>
        <w:rPr>
          <w:b/>
        </w:rPr>
        <w:t>A_26105</w:t>
      </w:r>
      <w:r>
        <w:rPr>
          <w:b/>
        </w:rPr>
        <w:t xml:space="preserve"> - </w:t>
      </w:r>
      <w:r>
        <w:rPr>
          <w:b/>
        </w:rPr>
        <w:t>ZT Cluster, Durchsetzung der Konfiguration</w:t>
      </w:r>
    </w:p>
    <w:p>
      <w:r>
        <w:t>Der Betreiber eines TI 2.0 Dienstes MUSS für seinen ZT Cluster die ihm zugewiesene Konfiguration aus dem GitHub Repository der gematik verwenden.</w:t>
      </w:r>
      <w:r>
        <w:rPr>
          <w:b/>
        </w:rPr>
        <w:t>[</w:t>
      </w:r>
      <w:r>
        <w:t>&lt;=</w:t>
      </w:r>
      <w:r>
        <w:rPr>
          <w:b/>
        </w:rPr>
        <w:t>]</w:t>
      </w:r>
    </w:p>
    <w:p>
      <w:pPr>
        <w:divId w:val="198"/>
      </w:pPr>
      <w:r>
        <w:rPr>
          <w:i/>
        </w:rPr>
        <w:t>Hinweis: Für die Anpassung und Inbetriebnahme von geänderten ZT Cluster Konfigurationen ist ein Continuous Delivery Prozess mit Quality Gates vorgesehen, der sich noch in der Entwicklung befindet.</w:t>
      </w:r>
    </w:p>
    <w:p>
      <w:pPr>
        <w:pStyle w:val="Heading2"/>
        <w:divId w:val="199"/>
      </w:pPr>
      <w:bookmarkStart w:id="118" w:name="_Toc256000052"/>
      <w:r>
        <w:t>Anforderungen an Policy Enforcement Points</w:t>
      </w:r>
      <w:bookmarkEnd w:id="118"/>
    </w:p>
    <w:p>
      <w:pPr>
        <w:divId w:val="200"/>
      </w:pPr>
      <w:r>
        <w:t>Der Policy Enforcement Point (PEP) stellt die zentrale Sicherheitskomponente einer Zero Trust Architektur dar, da in dieser alle Zugriffsentscheidungen durchgesetzt (engl.: enforce) werden. Gemäß oben vorgeschlagener Architekturzerlegung, empfiehlt es sich, den PEP in mehreren Teilkomponenten zu realisieren.</w:t>
      </w:r>
    </w:p>
    <w:p>
      <w:pPr>
        <w:divId w:val="201"/>
      </w:pPr>
      <w:r>
        <w:t>Mit der Registrierung an der Komponente Client Registry werden von Nutzern verwendete Clients (Gerät/App Kombinationen) identifizierbar gemacht und können an ausgegebene Zugriffstoken gebunden werden. Über einen Authorization Server kann im PEP eine Benutzersession angelegt und verwaltet werden, über die eine mögliche Veränderung von Sessionparametern (verwendetes Gerät/App, Zugriffsfrequenz) beobachtet werden kann, um nach Bedarf zusätzliche Sicherheitsmechanismen aktivieren zu können (Step-Up-Authentication, Throttling etc.). Ist ein Zugriff zu gewähren, wird der Nutzer-Request über einen http Proxy an das angefragte Resource Backend weitergeleitet.</w:t>
      </w:r>
    </w:p>
    <w:p>
      <w:pPr>
        <w:pStyle w:val="Heading3"/>
        <w:divId w:val="202"/>
      </w:pPr>
      <w:bookmarkStart w:id="119" w:name="_Toc256000053"/>
      <w:r>
        <w:t>PEP Client Registry</w:t>
      </w:r>
      <w:bookmarkEnd w:id="119"/>
    </w:p>
    <w:p>
      <w:pPr>
        <w:spacing w:before="0" w:after="0"/>
      </w:pPr>
      <w:r>
        <w:rPr>
          <w:vanish/>
        </w:rPr>
        <w:t>Mainline_OPB1/ML-153312</w:t>
      </w:r>
      <w:r>
        <w:rPr>
          <w:b/>
        </w:rPr>
        <w:t>A_25644</w:t>
      </w:r>
      <w:r>
        <w:rPr>
          <w:b/>
        </w:rPr>
        <w:t xml:space="preserve"> - </w:t>
      </w:r>
      <w:r>
        <w:rPr>
          <w:b/>
        </w:rPr>
        <w:t>PEP Client Registration - Mobile Attestation</w:t>
      </w:r>
    </w:p>
    <w:p>
      <w:r>
        <w:t>Die Komponente Client Registry MUSS die Clients/Apps bei der Registrierung über folgende Mechanismen attestieren:</w:t>
      </w:r>
    </w:p>
    <w:p>
      <w:pPr>
        <w:pStyle w:val="ListParagraph"/>
        <w:numPr>
          <w:ilvl w:val="0"/>
          <w:numId w:val="30"/>
        </w:numPr>
      </w:pPr>
      <w:r>
        <w:t>Android Key ID Attestation</w:t>
      </w:r>
    </w:p>
    <w:p>
      <w:pPr>
        <w:pStyle w:val="ListParagraph"/>
        <w:numPr>
          <w:ilvl w:val="0"/>
          <w:numId w:val="30"/>
        </w:numPr>
      </w:pPr>
      <w:r>
        <w:t>Apple DCAppAttest.</w:t>
      </w:r>
    </w:p>
    <w:p>
      <w:pPr>
        <w:pStyle w:val="ListParagraph"/>
        <w:numPr>
          <w:ilvl w:val="0"/>
          <w:numId w:val="30"/>
        </w:numPr>
      </w:pPr>
      <w:r>
        <w:t>SM-B signiertes Client Assertion JWT</w:t>
      </w:r>
    </w:p>
    <w:p>
      <w:r>
        <w:rPr>
          <w:b/>
        </w:rPr>
        <w:t>[</w:t>
      </w:r>
      <w:r>
        <w:t>&lt;=</w:t>
      </w:r>
      <w:r>
        <w:rPr>
          <w:b/>
        </w:rPr>
        <w:t>]</w:t>
      </w:r>
    </w:p>
    <w:p>
      <w:pPr>
        <w:spacing w:before="0" w:after="0"/>
      </w:pPr>
      <w:r>
        <w:rPr>
          <w:vanish/>
        </w:rPr>
        <w:t>Mainline_OPB1/ML-153308</w:t>
      </w:r>
      <w:r>
        <w:rPr>
          <w:b/>
        </w:rPr>
        <w:t>A_25645</w:t>
      </w:r>
      <w:r>
        <w:rPr>
          <w:b/>
        </w:rPr>
        <w:t xml:space="preserve"> - </w:t>
      </w:r>
      <w:r>
        <w:rPr>
          <w:b/>
        </w:rPr>
        <w:t>PEP Client Registration - Attestation mittels TI-Smartcard</w:t>
      </w:r>
    </w:p>
    <w:p>
      <w:r>
        <w:t xml:space="preserve">Die Komponente Client Registry MUSS die Registrierung über eine TI-Smartcard durchführen (eGK, SMC-B, HBA), falls die Ausführungsumgebung des Clients keine plattformseitigen Attestation-Mechanismen anbietet. </w:t>
      </w:r>
      <w:r>
        <w:t xml:space="preserve"> Die Verwendung des zentralen IDP-Dienstes ist für die Nutzerauthentifizierung zulässig.</w:t>
      </w:r>
      <w:r>
        <w:rPr>
          <w:b/>
        </w:rPr>
        <w:t>[</w:t>
      </w:r>
      <w:r>
        <w:t>&lt;=</w:t>
      </w:r>
      <w:r>
        <w:rPr>
          <w:b/>
        </w:rPr>
        <w:t>]</w:t>
      </w:r>
    </w:p>
    <w:p>
      <w:pPr>
        <w:spacing w:before="0" w:after="0"/>
      </w:pPr>
      <w:r>
        <w:rPr>
          <w:vanish/>
        </w:rPr>
        <w:t>Mainline_OPB1/ML-153293</w:t>
      </w:r>
      <w:r>
        <w:rPr>
          <w:b/>
        </w:rPr>
        <w:t>A_25648</w:t>
      </w:r>
      <w:r>
        <w:rPr>
          <w:b/>
        </w:rPr>
        <w:t xml:space="preserve"> - </w:t>
      </w:r>
      <w:r>
        <w:rPr>
          <w:b/>
        </w:rPr>
        <w:t>PEP Client Registration - Device Session Credentials</w:t>
      </w:r>
    </w:p>
    <w:p>
      <w:r>
        <w:t>Die Komponente Client Registry MUSS die Client Credentials aufbewahren und Verifikationsmechanismen dem PEP Authorization Server bereitstellen.</w:t>
      </w:r>
      <w:r>
        <w:rPr>
          <w:b/>
        </w:rPr>
        <w:t>[</w:t>
      </w:r>
      <w:r>
        <w:t>&lt;=</w:t>
      </w:r>
      <w:r>
        <w:rPr>
          <w:b/>
        </w:rPr>
        <w:t>]</w:t>
      </w:r>
    </w:p>
    <w:p>
      <w:pPr>
        <w:spacing w:before="0" w:after="0"/>
      </w:pPr>
      <w:r>
        <w:rPr>
          <w:vanish/>
        </w:rPr>
        <w:t>Mainline_OPB1/ML-153292</w:t>
      </w:r>
      <w:r>
        <w:rPr>
          <w:b/>
        </w:rPr>
        <w:t>A_25649</w:t>
      </w:r>
      <w:r>
        <w:rPr>
          <w:b/>
        </w:rPr>
        <w:t xml:space="preserve"> - </w:t>
      </w:r>
      <w:r>
        <w:rPr>
          <w:b/>
        </w:rPr>
        <w:t>PEP Client Registration - Regelmäßige Wiederholung der Attestation</w:t>
      </w:r>
    </w:p>
    <w:p>
      <w:r>
        <w:t>Die Komponente Client Registry MUSS die Client Attestierung regelmäßig gemäß Festlegungen in der Device Policy wiederholen.</w:t>
      </w:r>
      <w:r>
        <w:rPr>
          <w:b/>
        </w:rPr>
        <w:t>[</w:t>
      </w:r>
      <w:r>
        <w:t>&lt;=</w:t>
      </w:r>
      <w:r>
        <w:rPr>
          <w:b/>
        </w:rPr>
        <w:t>]</w:t>
      </w:r>
    </w:p>
    <w:p>
      <w:pPr>
        <w:spacing w:before="0" w:after="0"/>
      </w:pPr>
      <w:r>
        <w:rPr>
          <w:vanish/>
        </w:rPr>
        <w:t>Mainline_OPB1/ML-153291</w:t>
      </w:r>
      <w:r>
        <w:rPr>
          <w:b/>
        </w:rPr>
        <w:t>A_25650</w:t>
      </w:r>
      <w:r>
        <w:rPr>
          <w:b/>
        </w:rPr>
        <w:t xml:space="preserve"> - </w:t>
      </w:r>
      <w:r>
        <w:rPr>
          <w:b/>
        </w:rPr>
        <w:t>PEP Client Registration - TI-Identität in Attestation</w:t>
      </w:r>
    </w:p>
    <w:p>
      <w:r>
        <w:t>Die Komponente Client Registry MUSS den registrierten Client an eine TI-Identität (KVNR oder TelematikID, festgestellt z. B. über die Einbindung des zentralen IDP-Dienstes oder eines Sektoralen IDP) binden.</w:t>
      </w:r>
      <w:r>
        <w:rPr>
          <w:b/>
        </w:rPr>
        <w:t>[</w:t>
      </w:r>
      <w:r>
        <w:t>&lt;=</w:t>
      </w:r>
      <w:r>
        <w:rPr>
          <w:b/>
        </w:rPr>
        <w:t>]</w:t>
      </w:r>
    </w:p>
    <w:p>
      <w:pPr>
        <w:spacing w:before="0" w:after="0"/>
      </w:pPr>
      <w:r>
        <w:rPr>
          <w:vanish/>
        </w:rPr>
        <w:t>Mainline_OPB1/ML-153290</w:t>
      </w:r>
      <w:r>
        <w:rPr>
          <w:b/>
        </w:rPr>
        <w:t>A_25651</w:t>
      </w:r>
      <w:r>
        <w:rPr>
          <w:b/>
        </w:rPr>
        <w:t xml:space="preserve"> - </w:t>
      </w:r>
      <w:r>
        <w:rPr>
          <w:b/>
        </w:rPr>
        <w:t>PEP Client Registration - Offband Nutzer Verification</w:t>
      </w:r>
    </w:p>
    <w:p>
      <w:r>
        <w:t>Die Komponente Client Registry MUSS einen Offband Prozess (z. B. E-Mail, SMS) für die Kommunikation mit diesem Nutzer unterstützen (Trust on First Use), wobei der Nutzer seine E-Mail Adresse bzw. Kontaktinformation eigenverantwortlich vergibt.</w:t>
      </w:r>
      <w:r>
        <w:rPr>
          <w:b/>
        </w:rPr>
        <w:t>[</w:t>
      </w:r>
      <w:r>
        <w:t>&lt;=</w:t>
      </w:r>
      <w:r>
        <w:rPr>
          <w:b/>
        </w:rPr>
        <w:t>]</w:t>
      </w:r>
    </w:p>
    <w:p>
      <w:pPr>
        <w:spacing w:before="0" w:after="0"/>
      </w:pPr>
      <w:r>
        <w:rPr>
          <w:vanish/>
        </w:rPr>
        <w:t>Mainline_OPB1/ML-153289</w:t>
      </w:r>
      <w:r>
        <w:rPr>
          <w:b/>
        </w:rPr>
        <w:t>A_25652</w:t>
      </w:r>
      <w:r>
        <w:rPr>
          <w:b/>
        </w:rPr>
        <w:t xml:space="preserve"> - </w:t>
      </w:r>
      <w:r>
        <w:rPr>
          <w:b/>
        </w:rPr>
        <w:t>PEP Client Registration - Push Gateway</w:t>
      </w:r>
    </w:p>
    <w:p>
      <w:r>
        <w:t>Die Komponente Client Registry MUSS Push-Notifications über die von App-Anbietern bereitgestellten Push-Gateways unterstützen, um die Notifications an bestimmte oder alle registrierte Clients eines Anwenders verschicken zu können.</w:t>
      </w:r>
      <w:r>
        <w:rPr>
          <w:b/>
        </w:rPr>
        <w:t>[</w:t>
      </w:r>
      <w:r>
        <w:t>&lt;=</w:t>
      </w:r>
      <w:r>
        <w:rPr>
          <w:b/>
        </w:rPr>
        <w:t>]</w:t>
      </w:r>
    </w:p>
    <w:p>
      <w:pPr>
        <w:spacing w:before="0" w:after="0"/>
      </w:pPr>
      <w:r>
        <w:rPr>
          <w:vanish/>
        </w:rPr>
        <w:t>Mainline_OPB1/ML-153837</w:t>
      </w:r>
      <w:r>
        <w:rPr>
          <w:b/>
        </w:rPr>
        <w:t>A_25737</w:t>
      </w:r>
      <w:r>
        <w:rPr>
          <w:b/>
        </w:rPr>
        <w:t xml:space="preserve"> - </w:t>
      </w:r>
      <w:r>
        <w:rPr>
          <w:b/>
        </w:rPr>
        <w:t>PEP Client Regisration - Push Notification</w:t>
      </w:r>
    </w:p>
    <w:p>
      <w:r>
        <w:t>Die Komponente Client Registry MUSS eine Push Benachrichtigung an alle registrierten Clients des Nutzers, für die eine Push Notification aktiviert ist, verschicken, sobald sich Änderungen an der Liste der registrierten Clients dieses Nutzers ergibt.</w:t>
      </w:r>
      <w:r>
        <w:rPr>
          <w:b/>
        </w:rPr>
        <w:t>[</w:t>
      </w:r>
      <w:r>
        <w:t>&lt;=</w:t>
      </w:r>
      <w:r>
        <w:rPr>
          <w:b/>
        </w:rPr>
        <w:t>]</w:t>
      </w:r>
    </w:p>
    <w:p>
      <w:pPr>
        <w:divId w:val="203"/>
      </w:pPr>
      <w:r>
        <w:rPr>
          <w:i/>
        </w:rPr>
        <w:t>Hinweis: Wie Clients ihre Push Konfiguration in den PEP eintragen können, wird in einer Folgeversion des vorliegenden Dokuments festgelegt.</w:t>
      </w:r>
    </w:p>
    <w:p>
      <w:pPr>
        <w:spacing w:before="0" w:after="0"/>
      </w:pPr>
      <w:r>
        <w:rPr>
          <w:vanish/>
        </w:rPr>
        <w:t>Mainline_OPB1/ML-153298</w:t>
      </w:r>
      <w:r>
        <w:rPr>
          <w:b/>
        </w:rPr>
        <w:t>A_25653</w:t>
      </w:r>
      <w:r>
        <w:rPr>
          <w:b/>
        </w:rPr>
        <w:t xml:space="preserve"> - </w:t>
      </w:r>
      <w:r>
        <w:rPr>
          <w:b/>
        </w:rPr>
        <w:t>PEP Client Registration - Umsetzung der Device Policy</w:t>
      </w:r>
    </w:p>
    <w:p>
      <w:r>
        <w:t>Die Komponente Client Registry MUSS die zulässigen Clients entsprechend der Konfiguration oder Policy (über PDP-Decision) ermitteln und nur diese gemäß der festgelegten Device Policy registrieren. Geräte, die die geforderten Parameter der Device Policy nicht unterstützen bzw. nicht das geforderte Niveau erreichen, MÜSSEN abgelehnt werden.</w:t>
      </w:r>
      <w:r>
        <w:rPr>
          <w:b/>
        </w:rPr>
        <w:t>[</w:t>
      </w:r>
      <w:r>
        <w:t>&lt;=</w:t>
      </w:r>
      <w:r>
        <w:rPr>
          <w:b/>
        </w:rPr>
        <w:t>]</w:t>
      </w:r>
    </w:p>
    <w:p>
      <w:pPr>
        <w:spacing w:before="0" w:after="0"/>
      </w:pPr>
      <w:r>
        <w:rPr>
          <w:vanish/>
        </w:rPr>
        <w:t>Mainline_OPB1/ML-153894</w:t>
      </w:r>
      <w:r>
        <w:rPr>
          <w:b/>
        </w:rPr>
        <w:t>A_25752</w:t>
      </w:r>
      <w:r>
        <w:rPr>
          <w:b/>
        </w:rPr>
        <w:t xml:space="preserve"> - </w:t>
      </w:r>
      <w:r>
        <w:rPr>
          <w:b/>
        </w:rPr>
        <w:t>PEP Client Registration - Nutzer über Hintergrund zur Ablehnung der Gerätregistrierung informieren</w:t>
      </w:r>
    </w:p>
    <w:p>
      <w:r>
        <w:t xml:space="preserve">Falls ein Gerät nicht die geforderten Parameter der Device Policy unterstützt bzw. das geforderte Niveau nicht erreicht, MUSS die Komponente Client Registry den Nutzer nutzerfreundlich </w:t>
      </w:r>
      <w:r>
        <w:commentReference w:id="120"/>
      </w:r>
      <w:r>
        <w:t xml:space="preserve"> darüber informieren, welche Geräteigenschaften zu der Ablehnung geführt haben.</w:t>
      </w:r>
      <w:r>
        <w:rPr>
          <w:b/>
        </w:rPr>
        <w:t>[</w:t>
      </w:r>
      <w:r>
        <w:t>&lt;=</w:t>
      </w:r>
      <w:r>
        <w:rPr>
          <w:b/>
        </w:rPr>
        <w:t>]</w:t>
      </w:r>
    </w:p>
    <w:p>
      <w:pPr>
        <w:spacing w:before="0" w:after="0"/>
      </w:pPr>
      <w:r>
        <w:rPr>
          <w:vanish/>
        </w:rPr>
        <w:t>Mainline_OPB1/ML-153297</w:t>
      </w:r>
      <w:r>
        <w:rPr>
          <w:b/>
        </w:rPr>
        <w:t>A_25654</w:t>
      </w:r>
      <w:r>
        <w:rPr>
          <w:b/>
        </w:rPr>
        <w:t xml:space="preserve"> - </w:t>
      </w:r>
      <w:r>
        <w:rPr>
          <w:b/>
        </w:rPr>
        <w:t>PEP Client Registration - Minimum Device Policy</w:t>
      </w:r>
    </w:p>
    <w:p>
      <w:r>
        <w:t>Die Komponente Client Registry MUSS Client Mindestanforderungen vor der Registrierung verifizieren und kann hierfür eine Schnittstelle des PDP verwenden.</w:t>
      </w:r>
      <w:r>
        <w:rPr>
          <w:b/>
        </w:rPr>
        <w:t>[</w:t>
      </w:r>
      <w:r>
        <w:t>&lt;=</w:t>
      </w:r>
      <w:r>
        <w:rPr>
          <w:b/>
        </w:rPr>
        <w:t>]</w:t>
      </w:r>
    </w:p>
    <w:p>
      <w:pPr>
        <w:spacing w:before="0" w:after="0"/>
      </w:pPr>
      <w:r>
        <w:rPr>
          <w:vanish/>
        </w:rPr>
        <w:t>Mainline_OPB1/ML-153838</w:t>
      </w:r>
      <w:r>
        <w:rPr>
          <w:b/>
        </w:rPr>
        <w:t>A_25738</w:t>
      </w:r>
      <w:r>
        <w:rPr>
          <w:b/>
        </w:rPr>
        <w:t xml:space="preserve"> - </w:t>
      </w:r>
      <w:r>
        <w:rPr>
          <w:b/>
        </w:rPr>
        <w:t>PEP Client Registration - Telemetrie Clientregistrierung</w:t>
      </w:r>
    </w:p>
    <w:p>
      <w:r>
        <w:t xml:space="preserve">Die Komponente Client Registry MUSS in den Telemetriedaten zu jeder versuchten Clientregistrierung folgende Parameter ohne einen Nutzerbezug protokollieren: </w:t>
      </w:r>
      <w:r>
        <w:commentReference w:id="121"/>
      </w:r>
      <w:r>
        <w:commentReference w:id="122"/>
      </w:r>
    </w:p>
    <w:p>
      <w:pPr>
        <w:pStyle w:val="ListParagraph"/>
        <w:numPr>
          <w:ilvl w:val="0"/>
          <w:numId w:val="31"/>
        </w:numPr>
      </w:pPr>
      <w:r>
        <w:t>Geräteparameter (Betriebssystem(-version), Patchlevel, Geolocation etc.) gemäß Geräteattestierung</w:t>
      </w:r>
    </w:p>
    <w:p>
      <w:pPr>
        <w:pStyle w:val="ListParagraph"/>
        <w:numPr>
          <w:ilvl w:val="0"/>
          <w:numId w:val="31"/>
        </w:numPr>
      </w:pPr>
      <w:r>
        <w:t>verwendeter Faktor für Offband-Verifikation (E-Mail, SMS etc.)</w:t>
      </w:r>
    </w:p>
    <w:p>
      <w:pPr>
        <w:pStyle w:val="ListParagraph"/>
        <w:numPr>
          <w:ilvl w:val="0"/>
          <w:numId w:val="31"/>
        </w:numPr>
      </w:pPr>
      <w:r>
        <w:t>Zeitstempel Registrierung, Zeitpunkt Offband-Bestätigung</w:t>
      </w:r>
    </w:p>
    <w:p>
      <w:pPr>
        <w:pStyle w:val="ListParagraph"/>
        <w:numPr>
          <w:ilvl w:val="0"/>
          <w:numId w:val="31"/>
        </w:numPr>
      </w:pPr>
      <w:r>
        <w:t>verwendeter Faktor der Nutzerauthentifizierung (SmartCard, Digitale Identität)</w:t>
      </w:r>
    </w:p>
    <w:p>
      <w:pPr>
        <w:pStyle w:val="ListParagraph"/>
        <w:numPr>
          <w:ilvl w:val="0"/>
          <w:numId w:val="31"/>
        </w:numPr>
      </w:pPr>
      <w:r>
        <w:t>Status/Ergebnis des Registrierungsversuchs</w:t>
      </w:r>
    </w:p>
    <w:p>
      <w:r>
        <w:rPr>
          <w:b/>
        </w:rPr>
        <w:t>[</w:t>
      </w:r>
      <w:r>
        <w:t>&lt;=</w:t>
      </w:r>
      <w:r>
        <w:rPr>
          <w:b/>
        </w:rPr>
        <w:t>]</w:t>
      </w:r>
    </w:p>
    <w:p>
      <w:pPr>
        <w:spacing w:before="0" w:after="0"/>
      </w:pPr>
      <w:r>
        <w:rPr>
          <w:vanish/>
        </w:rPr>
        <w:t>Mainline_OPB1/ML-153898</w:t>
      </w:r>
      <w:r>
        <w:rPr>
          <w:b/>
        </w:rPr>
        <w:t>A_25754</w:t>
      </w:r>
      <w:r>
        <w:rPr>
          <w:b/>
        </w:rPr>
        <w:t xml:space="preserve"> - </w:t>
      </w:r>
      <w:r>
        <w:rPr>
          <w:b/>
        </w:rPr>
        <w:t>PEP Client Registration - Notfall-Recovery-Prozess für Nutzer</w:t>
      </w:r>
    </w:p>
    <w:p>
      <w:r>
        <w:t>Die Komponente Client Registry MUSS dem Nutzer einen Notfall-Recovery-Prozess anbieten, falls der Nutzer sein letztes Gerät verloren und keinen Zugriff mehr auf seine registrierte E-Mail-Adresse/Telefonnummer hat.</w:t>
      </w:r>
      <w:r>
        <w:rPr>
          <w:b/>
        </w:rPr>
        <w:t>[</w:t>
      </w:r>
      <w:r>
        <w:t>&lt;=</w:t>
      </w:r>
      <w:r>
        <w:rPr>
          <w:b/>
        </w:rPr>
        <w:t>]</w:t>
      </w:r>
    </w:p>
    <w:p>
      <w:pPr>
        <w:spacing w:before="0" w:after="0"/>
      </w:pPr>
      <w:r>
        <w:rPr>
          <w:vanish/>
        </w:rPr>
        <w:t>Mainline_OPB1/ML-155938</w:t>
      </w:r>
      <w:r>
        <w:rPr>
          <w:b/>
        </w:rPr>
        <w:t>A_26064</w:t>
      </w:r>
      <w:r>
        <w:rPr>
          <w:b/>
        </w:rPr>
        <w:t xml:space="preserve"> - </w:t>
      </w:r>
      <w:r>
        <w:rPr>
          <w:b/>
        </w:rPr>
        <w:t>Access Token bei Monitoring-Signalen sperren</w:t>
      </w:r>
    </w:p>
    <w:p>
      <w:r>
        <w:t>Falls das Monitoring System eine Änderung in den Kommunikationsmerkmalen signalisiert, muss der PEP das aktuelle Access Token sperren.</w:t>
      </w:r>
      <w:r>
        <w:rPr>
          <w:b/>
        </w:rPr>
        <w:t>[</w:t>
      </w:r>
      <w:r>
        <w:t>&lt;=</w:t>
      </w:r>
      <w:r>
        <w:rPr>
          <w:b/>
        </w:rPr>
        <w:t>]</w:t>
      </w:r>
    </w:p>
    <w:p>
      <w:pPr>
        <w:divId w:val="204"/>
      </w:pPr>
      <w:r>
        <w:rPr>
          <w:i/>
        </w:rPr>
        <w:t>Hinweis: der Client muss danach ein neues Access Token beim Authorization Server abfragen. Die Abfrage des neuen Access Token beinhaltet immer eine Entscheidung durch den PDP. </w:t>
      </w:r>
    </w:p>
    <w:p>
      <w:pPr>
        <w:pStyle w:val="Heading4"/>
        <w:divId w:val="205"/>
      </w:pPr>
      <w:bookmarkStart w:id="123" w:name="_Toc256000054"/>
      <w:r>
        <w:t>Sicherheits- und Datenschutz-Anforderungen an dem PEP Client Registration</w:t>
      </w:r>
      <w:bookmarkEnd w:id="123"/>
    </w:p>
    <w:p>
      <w:pPr>
        <w:spacing w:before="0" w:after="0"/>
      </w:pPr>
      <w:r>
        <w:rPr>
          <w:vanish/>
        </w:rPr>
        <w:t>Mainline_OPB1/ML-153893</w:t>
      </w:r>
      <w:r>
        <w:rPr>
          <w:b/>
        </w:rPr>
        <w:t>A_25751</w:t>
      </w:r>
      <w:r>
        <w:rPr>
          <w:b/>
        </w:rPr>
        <w:t xml:space="preserve"> - </w:t>
      </w:r>
      <w:r>
        <w:rPr>
          <w:b/>
        </w:rPr>
        <w:t>PEP Client Registration - Anwendungsfälle nur vom registrierten Client</w:t>
      </w:r>
    </w:p>
    <w:p>
      <w:r>
        <w:t xml:space="preserve">Nach der erfolgreichen Registrierung des ersten Clients (Geräts/App Kombination), </w:t>
      </w:r>
      <w:r>
        <w:commentReference w:id="124"/>
      </w:r>
      <w:r>
        <w:t xml:space="preserve"> MUSS die Komponente Client Registry sicherstellen, dass die folgenden Anwendungsfälle nur von einem registrierten Client </w:t>
      </w:r>
      <w:r>
        <w:t xml:space="preserve"> durchgeführt werden kann:</w:t>
      </w:r>
    </w:p>
    <w:p>
      <w:pPr>
        <w:pStyle w:val="ListParagraph"/>
        <w:numPr>
          <w:ilvl w:val="0"/>
          <w:numId w:val="32"/>
        </w:numPr>
      </w:pPr>
      <w:r>
        <w:t>Gerät löschen</w:t>
      </w:r>
    </w:p>
    <w:p>
      <w:pPr>
        <w:pStyle w:val="ListParagraph"/>
        <w:numPr>
          <w:ilvl w:val="0"/>
          <w:numId w:val="32"/>
        </w:numPr>
      </w:pPr>
      <w:r>
        <w:t>Gerät umbenennen</w:t>
      </w:r>
    </w:p>
    <w:p>
      <w:pPr>
        <w:pStyle w:val="ListParagraph"/>
        <w:numPr>
          <w:ilvl w:val="0"/>
          <w:numId w:val="32"/>
        </w:numPr>
      </w:pPr>
      <w:r>
        <w:t>E-Mail-Adresse hinzufügen</w:t>
      </w:r>
    </w:p>
    <w:p>
      <w:pPr>
        <w:pStyle w:val="ListParagraph"/>
        <w:numPr>
          <w:ilvl w:val="0"/>
          <w:numId w:val="32"/>
        </w:numPr>
      </w:pPr>
      <w:r>
        <w:t>E-Mail-Adresse aktualisieren</w:t>
      </w:r>
    </w:p>
    <w:p>
      <w:r>
        <w:rPr>
          <w:b/>
        </w:rPr>
        <w:t>[</w:t>
      </w:r>
      <w:r>
        <w:t>&lt;=</w:t>
      </w:r>
      <w:r>
        <w:rPr>
          <w:b/>
        </w:rPr>
        <w:t>]</w:t>
      </w:r>
    </w:p>
    <w:p>
      <w:pPr>
        <w:spacing w:before="0" w:after="0"/>
      </w:pPr>
      <w:r>
        <w:rPr>
          <w:vanish/>
        </w:rPr>
        <w:t>Mainline_OPB1/ML-153892</w:t>
      </w:r>
      <w:r>
        <w:rPr>
          <w:b/>
        </w:rPr>
        <w:t>A_25748</w:t>
      </w:r>
      <w:r>
        <w:rPr>
          <w:b/>
        </w:rPr>
        <w:t xml:space="preserve"> - </w:t>
      </w:r>
      <w:r>
        <w:rPr>
          <w:b/>
        </w:rPr>
        <w:t>PEP Client Registration - Maximale Anzahl von Geräten</w:t>
      </w:r>
    </w:p>
    <w:p>
      <w:r>
        <w:t>Die Komponente Client Registry MUSS sicherstellen, dass ein Nutzer maximal 256 </w:t>
      </w:r>
      <w:r>
        <w:t xml:space="preserve">Geräte registrieren kann. Der Wert muss konfigurierbar sein. </w:t>
      </w:r>
      <w:r>
        <w:commentReference w:id="125"/>
      </w:r>
      <w:r>
        <w:rPr>
          <w:b/>
        </w:rPr>
        <w:t>[</w:t>
      </w:r>
      <w:r>
        <w:t>&lt;=</w:t>
      </w:r>
      <w:r>
        <w:rPr>
          <w:b/>
        </w:rPr>
        <w:t>]</w:t>
      </w:r>
    </w:p>
    <w:p>
      <w:pPr>
        <w:spacing w:before="0" w:after="0"/>
      </w:pPr>
      <w:r>
        <w:rPr>
          <w:vanish/>
        </w:rPr>
        <w:t>Mainline_OPB1/ML-153889</w:t>
      </w:r>
      <w:r>
        <w:rPr>
          <w:b/>
        </w:rPr>
        <w:t>A_25749</w:t>
      </w:r>
      <w:r>
        <w:rPr>
          <w:b/>
        </w:rPr>
        <w:t xml:space="preserve"> - </w:t>
      </w:r>
      <w:r>
        <w:rPr>
          <w:b/>
        </w:rPr>
        <w:t>PEP Client Registration - Nutzer Protokollierung</w:t>
      </w:r>
    </w:p>
    <w:p>
      <w:r>
        <w:t>Die Komponente Client Registry MUSS ein Nutzerprotokoll führen und die folgenden Anwendungsfälle für den Nutzer protokollieren:</w:t>
      </w:r>
    </w:p>
    <w:p>
      <w:pPr>
        <w:pStyle w:val="ListParagraph"/>
        <w:numPr>
          <w:ilvl w:val="0"/>
          <w:numId w:val="33"/>
        </w:numPr>
      </w:pPr>
      <w:r>
        <w:t>Gerät hinzufügen</w:t>
      </w:r>
    </w:p>
    <w:p>
      <w:pPr>
        <w:pStyle w:val="ListParagraph"/>
        <w:numPr>
          <w:ilvl w:val="0"/>
          <w:numId w:val="33"/>
        </w:numPr>
      </w:pPr>
      <w:r>
        <w:t>Gerät löschen</w:t>
      </w:r>
    </w:p>
    <w:p>
      <w:pPr>
        <w:pStyle w:val="ListParagraph"/>
        <w:numPr>
          <w:ilvl w:val="0"/>
          <w:numId w:val="33"/>
        </w:numPr>
      </w:pPr>
      <w:r>
        <w:t>Gerät umbenennen</w:t>
      </w:r>
    </w:p>
    <w:p>
      <w:pPr>
        <w:pStyle w:val="ListParagraph"/>
        <w:numPr>
          <w:ilvl w:val="0"/>
          <w:numId w:val="33"/>
        </w:numPr>
      </w:pPr>
      <w:r>
        <w:t>E-Mail-Adresse hinzufugen</w:t>
      </w:r>
    </w:p>
    <w:p>
      <w:pPr>
        <w:pStyle w:val="ListParagraph"/>
        <w:numPr>
          <w:ilvl w:val="0"/>
          <w:numId w:val="33"/>
        </w:numPr>
      </w:pPr>
      <w:r>
        <w:t>E-Mail-Adresse aktualisieren</w:t>
      </w:r>
    </w:p>
    <w:p>
      <w:r>
        <w:rPr>
          <w:b/>
        </w:rPr>
        <w:t>[</w:t>
      </w:r>
      <w:r>
        <w:t>&lt;=</w:t>
      </w:r>
      <w:r>
        <w:rPr>
          <w:b/>
        </w:rPr>
        <w:t>]</w:t>
      </w:r>
    </w:p>
    <w:p>
      <w:pPr>
        <w:spacing w:before="0" w:after="0"/>
      </w:pPr>
      <w:r>
        <w:rPr>
          <w:vanish/>
        </w:rPr>
        <w:t>Mainline_OPB1/ML-153890</w:t>
      </w:r>
      <w:r>
        <w:rPr>
          <w:b/>
        </w:rPr>
        <w:t>A_25750</w:t>
      </w:r>
      <w:r>
        <w:rPr>
          <w:b/>
        </w:rPr>
        <w:t xml:space="preserve"> - </w:t>
      </w:r>
      <w:r>
        <w:rPr>
          <w:b/>
        </w:rPr>
        <w:t>PEP Client Registration - Nutzer über sicherheitsrelevante Ereignisse informieren</w:t>
      </w:r>
    </w:p>
    <w:p>
      <w:r>
        <w:t>Die Komponente Client Registry MUSS sicherstellen, dass der Nutzer bei folgenden Anwendungsfällen informiert wird:</w:t>
      </w:r>
    </w:p>
    <w:p>
      <w:pPr>
        <w:pStyle w:val="ListParagraph"/>
        <w:numPr>
          <w:ilvl w:val="0"/>
          <w:numId w:val="34"/>
        </w:numPr>
      </w:pPr>
      <w:r>
        <w:t>Gerät hinzufügen</w:t>
      </w:r>
    </w:p>
    <w:p>
      <w:pPr>
        <w:pStyle w:val="ListParagraph"/>
        <w:numPr>
          <w:ilvl w:val="0"/>
          <w:numId w:val="34"/>
        </w:numPr>
      </w:pPr>
      <w:r>
        <w:t>Gerät löschen</w:t>
      </w:r>
    </w:p>
    <w:p>
      <w:pPr>
        <w:pStyle w:val="ListParagraph"/>
        <w:numPr>
          <w:ilvl w:val="0"/>
          <w:numId w:val="34"/>
        </w:numPr>
      </w:pPr>
      <w:r>
        <w:t>Gerät umbenennen</w:t>
      </w:r>
    </w:p>
    <w:p>
      <w:pPr>
        <w:pStyle w:val="ListParagraph"/>
        <w:numPr>
          <w:ilvl w:val="0"/>
          <w:numId w:val="34"/>
        </w:numPr>
      </w:pPr>
      <w:r>
        <w:t>E-Mail-Adresse aktualisieren</w:t>
      </w:r>
    </w:p>
    <w:p>
      <w:r>
        <w:rPr>
          <w:b/>
        </w:rPr>
        <w:t>[</w:t>
      </w:r>
      <w:r>
        <w:t>&lt;=</w:t>
      </w:r>
      <w:r>
        <w:rPr>
          <w:b/>
        </w:rPr>
        <w:t>]</w:t>
      </w:r>
    </w:p>
    <w:p>
      <w:pPr>
        <w:divId w:val="206"/>
      </w:pPr>
      <w:r>
        <w:rPr>
          <w:i/>
          <w:color w:val="000000"/>
        </w:rPr>
        <w:t>Hinweis: Der Nutzer kann z.B. durch eine geeignete E-Mail oder App-Notifikation über die sicherheitsrelevanten Ereignisse informiert werden.</w:t>
      </w:r>
    </w:p>
    <w:p>
      <w:pPr>
        <w:pStyle w:val="Heading3"/>
        <w:divId w:val="207"/>
      </w:pPr>
      <w:bookmarkStart w:id="126" w:name="_Toc256000055"/>
      <w:r>
        <w:t>PEP Relying Party</w:t>
      </w:r>
      <w:bookmarkEnd w:id="126"/>
    </w:p>
    <w:p>
      <w:pPr>
        <w:spacing w:before="0" w:after="0"/>
      </w:pPr>
      <w:r>
        <w:rPr>
          <w:vanish/>
        </w:rPr>
        <w:t>Mainline_OPB1/ML-153301</w:t>
      </w:r>
      <w:r>
        <w:rPr>
          <w:b/>
        </w:rPr>
        <w:t>A_25655</w:t>
      </w:r>
      <w:r>
        <w:rPr>
          <w:b/>
        </w:rPr>
        <w:t xml:space="preserve"> - </w:t>
      </w:r>
      <w:r>
        <w:rPr>
          <w:b/>
        </w:rPr>
        <w:t>PEP - Relying Party</w:t>
      </w:r>
    </w:p>
    <w:p>
      <w:r>
        <w:t>Die Komponente Policy Enforcement Point MUSS in der TI-Föderation als Relying Party registriert sein.</w:t>
      </w:r>
      <w:r>
        <w:rPr>
          <w:b/>
        </w:rPr>
        <w:t>[</w:t>
      </w:r>
      <w:r>
        <w:t>&lt;=</w:t>
      </w:r>
      <w:r>
        <w:rPr>
          <w:b/>
        </w:rPr>
        <w:t>]</w:t>
      </w:r>
    </w:p>
    <w:p>
      <w:pPr>
        <w:spacing w:before="0" w:after="0"/>
      </w:pPr>
      <w:r>
        <w:rPr>
          <w:vanish/>
        </w:rPr>
        <w:t>Mainline_OPB1/ML-153299</w:t>
      </w:r>
      <w:r>
        <w:rPr>
          <w:b/>
        </w:rPr>
        <w:t>A_25656</w:t>
      </w:r>
      <w:r>
        <w:rPr>
          <w:b/>
        </w:rPr>
        <w:t xml:space="preserve"> - </w:t>
      </w:r>
      <w:r>
        <w:rPr>
          <w:b/>
        </w:rPr>
        <w:t>PEP - Entity Statement</w:t>
      </w:r>
    </w:p>
    <w:p>
      <w:r>
        <w:t>Die Komponente Policy Enforcement Point MUSS die Redirect-URIs aller zulässigen Clients als erlaubte Redirect-URIs im Entity Statement ausweisen.</w:t>
      </w:r>
      <w:r>
        <w:rPr>
          <w:b/>
        </w:rPr>
        <w:t>[</w:t>
      </w:r>
      <w:r>
        <w:t>&lt;=</w:t>
      </w:r>
      <w:r>
        <w:rPr>
          <w:b/>
        </w:rPr>
        <w:t>]</w:t>
      </w:r>
    </w:p>
    <w:p>
      <w:pPr>
        <w:spacing w:before="0" w:after="0"/>
      </w:pPr>
      <w:r>
        <w:rPr>
          <w:vanish/>
        </w:rPr>
        <w:t>Mainline_OPB1/ML-153300</w:t>
      </w:r>
      <w:r>
        <w:rPr>
          <w:b/>
        </w:rPr>
        <w:t>A_25657</w:t>
      </w:r>
      <w:r>
        <w:rPr>
          <w:b/>
        </w:rPr>
        <w:t xml:space="preserve"> - </w:t>
      </w:r>
      <w:r>
        <w:rPr>
          <w:b/>
        </w:rPr>
        <w:t>PEP - Authentication über sektoralen IDP</w:t>
      </w:r>
    </w:p>
    <w:p>
      <w:r>
        <w:t xml:space="preserve">Die Komponente Policy Enforcement Point (bzw. ihre Subkomponente Authorization Server) MUSS die Nutzer über sektorale IDPs authentifizieren können. </w:t>
      </w:r>
      <w:r>
        <w:rPr>
          <w:b/>
        </w:rPr>
        <w:t>[</w:t>
      </w:r>
      <w:r>
        <w:t>&lt;=</w:t>
      </w:r>
      <w:r>
        <w:rPr>
          <w:b/>
        </w:rPr>
        <w:t>]</w:t>
      </w:r>
    </w:p>
    <w:p>
      <w:pPr>
        <w:spacing w:before="0" w:after="0"/>
      </w:pPr>
      <w:r>
        <w:rPr>
          <w:vanish/>
        </w:rPr>
        <w:t>Mainline_OPB1/ML-153311</w:t>
      </w:r>
      <w:r>
        <w:rPr>
          <w:b/>
        </w:rPr>
        <w:t>A_25658</w:t>
      </w:r>
      <w:r>
        <w:rPr>
          <w:b/>
        </w:rPr>
        <w:t xml:space="preserve"> - </w:t>
      </w:r>
      <w:r>
        <w:rPr>
          <w:b/>
        </w:rPr>
        <w:t>PEP - Authentication über SmartCard IDP</w:t>
      </w:r>
    </w:p>
    <w:p>
      <w:r>
        <w:t>Die Komponente Policy Enforcement Point (bzw. ihre Subkomponente Authorization Server) MUSS die Nutzer über den zentralen IDP-Dienst (SmartCard-IDP) authentifizieren können.</w:t>
      </w:r>
      <w:r>
        <w:rPr>
          <w:b/>
        </w:rPr>
        <w:t>[</w:t>
      </w:r>
      <w:r>
        <w:t>&lt;=</w:t>
      </w:r>
      <w:r>
        <w:rPr>
          <w:b/>
        </w:rPr>
        <w:t>]</w:t>
      </w:r>
    </w:p>
    <w:p>
      <w:pPr>
        <w:pStyle w:val="Heading3"/>
        <w:divId w:val="208"/>
      </w:pPr>
      <w:bookmarkStart w:id="127" w:name="_Toc256000056"/>
      <w:r>
        <w:t>PEP Authorization Server</w:t>
      </w:r>
      <w:bookmarkEnd w:id="127"/>
    </w:p>
    <w:p>
      <w:pPr>
        <w:spacing w:before="0" w:after="0"/>
      </w:pPr>
      <w:r>
        <w:rPr>
          <w:vanish/>
        </w:rPr>
        <w:t>Mainline_OPB1/ML-153909</w:t>
      </w:r>
      <w:r>
        <w:rPr>
          <w:b/>
        </w:rPr>
        <w:t>A_25760</w:t>
      </w:r>
      <w:r>
        <w:rPr>
          <w:b/>
        </w:rPr>
        <w:t xml:space="preserve"> - </w:t>
      </w:r>
      <w:r>
        <w:rPr>
          <w:b/>
        </w:rPr>
        <w:t>PEP Authorization Server - OAuth2 Schnittstellen</w:t>
      </w:r>
    </w:p>
    <w:p>
      <w:r>
        <w:t xml:space="preserve">Die Komponente Authorization Server MUSS eine OAuth2 Schnittstelle </w:t>
      </w:r>
      <w:r>
        <w:t xml:space="preserve"> gemäß [</w:t>
      </w:r>
      <w:r>
        <w:rPr>
          <w:sz w:val="20"/>
          <w:szCs w:val="20"/>
        </w:rPr>
        <w:t>RFC6749] und [RFC7636] implementieren.</w:t>
      </w:r>
      <w:r>
        <w:br/>
      </w:r>
      <w:r>
        <w:rPr>
          <w:sz w:val="20"/>
          <w:szCs w:val="20"/>
        </w:rPr>
        <w:t>Der Authorization Server MUSS am Token Endpunkt REFRESH_TOKEN entsprechend [RFC6749] ausstellen können.</w:t>
      </w:r>
      <w:r>
        <w:rPr>
          <w:b/>
        </w:rPr>
        <w:t>[</w:t>
      </w:r>
      <w:r>
        <w:t>&lt;=</w:t>
      </w:r>
      <w:r>
        <w:rPr>
          <w:b/>
        </w:rPr>
        <w:t>]</w:t>
      </w:r>
    </w:p>
    <w:p>
      <w:pPr>
        <w:spacing w:before="0" w:after="0"/>
      </w:pPr>
      <w:r>
        <w:rPr>
          <w:vanish/>
        </w:rPr>
        <w:t>Mainline_OPB1/ML-153296</w:t>
      </w:r>
      <w:r>
        <w:rPr>
          <w:b/>
        </w:rPr>
        <w:t>A_25659</w:t>
      </w:r>
      <w:r>
        <w:rPr>
          <w:b/>
        </w:rPr>
        <w:t xml:space="preserve"> - </w:t>
      </w:r>
      <w:r>
        <w:rPr>
          <w:b/>
        </w:rPr>
        <w:t>PEP Authorization Server - Check Device Registration</w:t>
      </w:r>
    </w:p>
    <w:p>
      <w:r>
        <w:t>Die Komponente Authorization Server MUSS die Client Instanzen über einen der folgenden Mechanismen authentifizieren:</w:t>
      </w:r>
    </w:p>
    <w:p>
      <w:pPr>
        <w:pStyle w:val="ListParagraph"/>
        <w:numPr>
          <w:ilvl w:val="0"/>
          <w:numId w:val="35"/>
        </w:numPr>
      </w:pPr>
      <w:r>
        <w:commentReference w:id="128"/>
      </w:r>
      <w:r>
        <w:t>Mutual-TLS Client Authentication gemäß [RFC8705]</w:t>
      </w:r>
    </w:p>
    <w:p>
      <w:pPr>
        <w:pStyle w:val="ListParagraph"/>
        <w:numPr>
          <w:ilvl w:val="0"/>
          <w:numId w:val="35"/>
        </w:numPr>
      </w:pPr>
      <w:r>
        <w:t>JSON Web Token Client Authentication gemäß [RFC7523] mit DPoP gemäß [RFC9449]</w:t>
      </w:r>
    </w:p>
    <w:p>
      <w:r>
        <w:t>und Anfragen, die weder noch eine der genannten Mechanismen verwendet konsequent ablehnen.</w:t>
      </w:r>
      <w:r>
        <w:rPr>
          <w:b/>
        </w:rPr>
        <w:t>[</w:t>
      </w:r>
      <w:r>
        <w:t>&lt;=</w:t>
      </w:r>
      <w:r>
        <w:rPr>
          <w:b/>
        </w:rPr>
        <w:t>]</w:t>
      </w:r>
    </w:p>
    <w:p>
      <w:pPr>
        <w:spacing w:before="0" w:after="0"/>
      </w:pPr>
      <w:r>
        <w:rPr>
          <w:vanish/>
        </w:rPr>
        <w:t>Mainline_OPB1/ML-153295</w:t>
      </w:r>
      <w:r>
        <w:rPr>
          <w:b/>
        </w:rPr>
        <w:t>A_25660</w:t>
      </w:r>
      <w:r>
        <w:rPr>
          <w:b/>
        </w:rPr>
        <w:t xml:space="preserve"> - </w:t>
      </w:r>
      <w:r>
        <w:rPr>
          <w:b/>
        </w:rPr>
        <w:t>PEP Authorization Server - Session Management mittels AccessTokens und Refresh-Tokens</w:t>
      </w:r>
    </w:p>
    <w:p>
      <w:r>
        <w:t>Die Komponente Authorization Server MUSS ein Session Management mittels OAuth2 und Ausgabe, Verwaltung und Entzug von Access- und Refresh-Token gemäß [RFC6749#1.5] unterstützen.</w:t>
      </w:r>
      <w:r>
        <w:rPr>
          <w:b/>
        </w:rPr>
        <w:t>[</w:t>
      </w:r>
      <w:r>
        <w:t>&lt;=</w:t>
      </w:r>
      <w:r>
        <w:rPr>
          <w:b/>
        </w:rPr>
        <w:t>]</w:t>
      </w:r>
    </w:p>
    <w:p>
      <w:pPr>
        <w:spacing w:before="0" w:after="0"/>
      </w:pPr>
      <w:r>
        <w:rPr>
          <w:vanish/>
        </w:rPr>
        <w:t>Mainline_OPB1/ML-153294</w:t>
      </w:r>
      <w:r>
        <w:rPr>
          <w:b/>
        </w:rPr>
        <w:t>A_25661</w:t>
      </w:r>
      <w:r>
        <w:rPr>
          <w:b/>
        </w:rPr>
        <w:t xml:space="preserve"> - </w:t>
      </w:r>
      <w:r>
        <w:rPr>
          <w:b/>
        </w:rPr>
        <w:t>PEP Authorization Server - Umsetzung der Policy Decision</w:t>
      </w:r>
    </w:p>
    <w:p>
      <w:r>
        <w:t xml:space="preserve">Die Komponente Authorization Server MUSS die Zugriffs-Entscheidung eines PDP mittels der Ausgabe eines Access- und eines Refresh-Tokens umsetzen bzw. eine Zugriffsverweigerung mit einem http-Statuscode 403 quittieren. </w:t>
      </w:r>
      <w:r>
        <w:rPr>
          <w:b/>
        </w:rPr>
        <w:t>[</w:t>
      </w:r>
      <w:r>
        <w:t>&lt;=</w:t>
      </w:r>
      <w:r>
        <w:rPr>
          <w:b/>
        </w:rPr>
        <w:t>]</w:t>
      </w:r>
    </w:p>
    <w:p>
      <w:pPr>
        <w:spacing w:before="0" w:after="0"/>
      </w:pPr>
      <w:r>
        <w:rPr>
          <w:vanish/>
        </w:rPr>
        <w:t>Mainline_OPB1/ML-153310</w:t>
      </w:r>
      <w:r>
        <w:rPr>
          <w:b/>
        </w:rPr>
        <w:t>A_25662</w:t>
      </w:r>
      <w:r>
        <w:rPr>
          <w:b/>
        </w:rPr>
        <w:t xml:space="preserve"> - </w:t>
      </w:r>
      <w:r>
        <w:rPr>
          <w:b/>
        </w:rPr>
        <w:t>PEP Authorization Server - Refresh-Token Rotation</w:t>
      </w:r>
    </w:p>
    <w:p>
      <w:r>
        <w:t xml:space="preserve">Die Komponente Authorization Server MUSS eine Refresh-Token Rotation gemäß [RFC6749#10.4] erzwingen und MUSS sicherstellen, dass ein Refresh Token nur einmal gegen ein Access-Token und ein Refresh-Token getauscht werden kann. </w:t>
      </w:r>
      <w:r>
        <w:rPr>
          <w:b/>
        </w:rPr>
        <w:t>[</w:t>
      </w:r>
      <w:r>
        <w:t>&lt;=</w:t>
      </w:r>
      <w:r>
        <w:rPr>
          <w:b/>
        </w:rPr>
        <w:t>]</w:t>
      </w:r>
    </w:p>
    <w:p>
      <w:pPr>
        <w:spacing w:before="0" w:after="0"/>
      </w:pPr>
      <w:r>
        <w:rPr>
          <w:vanish/>
        </w:rPr>
        <w:t>Mainline_OPB1/ML-153309</w:t>
      </w:r>
      <w:r>
        <w:rPr>
          <w:b/>
        </w:rPr>
        <w:t>A_25663</w:t>
      </w:r>
      <w:r>
        <w:rPr>
          <w:b/>
        </w:rPr>
        <w:t xml:space="preserve"> - </w:t>
      </w:r>
      <w:r>
        <w:rPr>
          <w:b/>
        </w:rPr>
        <w:t>PEP Authorization Server - Token-Binding an Device-Registration</w:t>
      </w:r>
    </w:p>
    <w:p>
      <w:r>
        <w:t>Die Komponente Authorization Server MUSS auszugebende Access-Token und Refresh-Token an die, über einen der Mechanismen:</w:t>
      </w:r>
    </w:p>
    <w:p>
      <w:pPr>
        <w:pStyle w:val="ListParagraph"/>
        <w:numPr>
          <w:ilvl w:val="0"/>
          <w:numId w:val="36"/>
        </w:numPr>
      </w:pPr>
      <w:r>
        <w:t>TLS Client Zertifikat Binding gemäß [RFC8705] </w:t>
      </w:r>
    </w:p>
    <w:p>
      <w:pPr>
        <w:pStyle w:val="ListParagraph"/>
        <w:numPr>
          <w:ilvl w:val="0"/>
          <w:numId w:val="36"/>
        </w:numPr>
      </w:pPr>
      <w:r>
        <w:t>OAuth 2.0 Demonstrating Proof of Possession (DPoP) gemäß [RFC9449]</w:t>
      </w:r>
    </w:p>
    <w:p>
      <w:r>
        <w:t xml:space="preserve">identifizierte Client-Instanz binden, in dem im Token-Binding-Claim </w:t>
      </w:r>
      <w:r>
        <w:t>die Angabe der verwendeten Clientidentifikation als "</w:t>
      </w:r>
      <w:r>
        <w:rPr>
          <w:rFonts w:ascii="Courier New" w:hAnsi="Courier New" w:cs="Courier New"/>
        </w:rPr>
        <w:t>jkt</w:t>
      </w:r>
      <w:r>
        <w:t>" oder "</w:t>
      </w:r>
      <w:r>
        <w:rPr>
          <w:rFonts w:ascii="Courier New" w:hAnsi="Courier New" w:cs="Courier New"/>
        </w:rPr>
        <w:t>x5t#S256</w:t>
      </w:r>
      <w:r>
        <w:t>" eineindeutig referenziert wird.</w:t>
      </w:r>
      <w:r>
        <w:rPr>
          <w:b/>
        </w:rPr>
        <w:t>[</w:t>
      </w:r>
      <w:r>
        <w:t>&lt;=</w:t>
      </w:r>
      <w:r>
        <w:rPr>
          <w:b/>
        </w:rPr>
        <w:t>]</w:t>
      </w:r>
    </w:p>
    <w:p>
      <w:pPr>
        <w:spacing w:before="0" w:after="0"/>
      </w:pPr>
      <w:r>
        <w:rPr>
          <w:vanish/>
        </w:rPr>
        <w:t>Mainline_OPB1/ML-153307</w:t>
      </w:r>
      <w:r>
        <w:rPr>
          <w:b/>
        </w:rPr>
        <w:t>A_25664</w:t>
      </w:r>
      <w:r>
        <w:rPr>
          <w:b/>
        </w:rPr>
        <w:t xml:space="preserve"> - </w:t>
      </w:r>
      <w:r>
        <w:rPr>
          <w:b/>
        </w:rPr>
        <w:t>PEP Authorization Server - Token Laufzeit gemäß Policy</w:t>
      </w:r>
    </w:p>
    <w:p>
      <w:r>
        <w:t>Die Komponente Authorization Server MUSS die Laufzeit der ausgegebenen Token entsprechend der Festlegungen aus der getroffenen Zugriffsentscheidung des PDP setzen.</w:t>
      </w:r>
      <w:r>
        <w:rPr>
          <w:b/>
        </w:rPr>
        <w:t>[</w:t>
      </w:r>
      <w:r>
        <w:t>&lt;=</w:t>
      </w:r>
      <w:r>
        <w:rPr>
          <w:b/>
        </w:rPr>
        <w:t>]</w:t>
      </w:r>
    </w:p>
    <w:p>
      <w:pPr>
        <w:spacing w:before="0" w:after="0"/>
      </w:pPr>
      <w:r>
        <w:rPr>
          <w:vanish/>
        </w:rPr>
        <w:t>Mainline_OPB1/ML-153305</w:t>
      </w:r>
      <w:r>
        <w:rPr>
          <w:b/>
        </w:rPr>
        <w:t>A_25665</w:t>
      </w:r>
      <w:r>
        <w:rPr>
          <w:b/>
        </w:rPr>
        <w:t xml:space="preserve"> - </w:t>
      </w:r>
      <w:r>
        <w:rPr>
          <w:b/>
        </w:rPr>
        <w:t>PEP Authorization Server - Plugin-Schnittstelle Application Authorization Backend</w:t>
      </w:r>
    </w:p>
    <w:p>
      <w:r>
        <w:t>Die Komponente Authorization Server MUSS eine Plug-In Schnittstelle zu einem anwendungsspezifischen Authorization Backend [GITHUB-Authz-Backend] implementieren und dabei die folgenden Signale und Informationen aus der erhaltenen Zugriffsanfrage weiterreichen.</w:t>
      </w:r>
    </w:p>
    <w:p>
      <w:pPr>
        <w:pStyle w:val="Caption"/>
        <w:keepNext/>
        <w:jc w:val="left"/>
      </w:pPr>
      <w:bookmarkStart w:id="129" w:name="_Toc256000093"/>
      <w:r>
        <w:t xml:space="preserve">Tabelle </w:t>
      </w:r>
      <w:r>
        <w:fldChar w:fldCharType="begin"/>
      </w:r>
      <w:r>
        <w:instrText xml:space="preserve"> SEQ Tabelle \* ARABIC </w:instrText>
      </w:r>
      <w:r>
        <w:fldChar w:fldCharType="separate"/>
      </w:r>
      <w:r>
        <w:t>5</w:t>
      </w:r>
      <w:r>
        <w:fldChar w:fldCharType="end"/>
      </w:r>
      <w:r>
        <w:t>: PEP Authorization Server - Plugin-Schnittstelle Application Authorization Backend</w:t>
      </w:r>
      <w:bookmarkEnd w:id="129"/>
    </w:p>
    <w:tbl>
      <w:tblPr>
        <w:tblStyle w:val="PolarionTableNormal"/>
        <w:tblW w:w="5000" w:type="pct"/>
        <w:jc w:val="left"/>
        <w:tblBorders>
          <w:top w:val="single" w:sz="8" w:space="0" w:color="CCCCCC"/>
          <w:left w:val="single" w:sz="8" w:space="0" w:color="CCCCCC"/>
          <w:bottom w:val="single" w:sz="8" w:space="0" w:color="CCCCCC"/>
          <w:right w:val="single" w:sz="8" w:space="0" w:color="CCCCCC"/>
        </w:tblBorders>
      </w:tblPr>
      <w:tblGrid>
        <w:gridCol w:w="2664"/>
        <w:gridCol w:w="3023"/>
        <w:gridCol w:w="1826"/>
        <w:gridCol w:w="1707"/>
      </w:tblGrid>
      <w:tr>
        <w:tblPrEx>
          <w:tblW w:w="5000" w:type="pct"/>
          <w:jc w:val="left"/>
          <w:tblBorders>
            <w:top w:val="single" w:sz="8" w:space="0" w:color="CCCCCC"/>
            <w:left w:val="single" w:sz="8" w:space="0" w:color="CCCCCC"/>
            <w:bottom w:val="single" w:sz="8" w:space="0" w:color="CCCCCC"/>
            <w:right w:val="single" w:sz="8" w:space="0" w:color="CCCCCC"/>
          </w:tblBorders>
        </w:tblPrEx>
        <w:trPr>
          <w:trHeight w:val="180"/>
          <w:jc w:val="left"/>
        </w:trPr>
        <w:tc>
          <w:tcPr>
            <w:tcW w:w="2880"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b/>
              </w:rPr>
              <w:t>Operation</w:t>
            </w:r>
          </w:p>
        </w:tc>
        <w:tc>
          <w:tcPr>
            <w:tcW w:w="2565"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b/>
              </w:rPr>
              <w:t>Operation Kennung</w:t>
            </w:r>
          </w:p>
        </w:tc>
        <w:tc>
          <w:tcPr>
            <w:tcW w:w="2610"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b/>
              </w:rPr>
              <w:t>Input</w:t>
            </w:r>
          </w:p>
        </w:tc>
        <w:tc>
          <w:tcPr>
            <w:tcW w:w="2565"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b/>
              </w:rPr>
              <w:t>Output</w:t>
            </w:r>
          </w:p>
        </w:tc>
      </w:tr>
      <w:tr>
        <w:tblPrEx>
          <w:tblW w:w="5000" w:type="pct"/>
          <w:jc w:val="left"/>
        </w:tblPrEx>
        <w:trPr>
          <w:trHeight w:val="180"/>
          <w:jc w:val="left"/>
        </w:trPr>
        <w:tc>
          <w:tcPr>
            <w:tcW w:w="288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Benachrichtigung über die Ablehnung des Zugriffs durch PEP </w:t>
            </w:r>
          </w:p>
        </w:tc>
        <w:tc>
          <w:tcPr>
            <w:tcW w:w="25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notifiyAccessDenied</w:t>
            </w:r>
          </w:p>
        </w:tc>
        <w:tc>
          <w:tcPr>
            <w:tcW w:w="261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Trace-Id</w:t>
            </w:r>
            <w:r>
              <w:br/>
            </w:r>
            <w:r>
              <w:t>Subject-Information</w:t>
            </w:r>
            <w:r>
              <w:br/>
            </w:r>
            <w:r>
              <w:t>Client-Information</w:t>
            </w:r>
            <w:r>
              <w:br/>
            </w:r>
            <w:r>
              <w:t>PDP-Decision</w:t>
            </w:r>
          </w:p>
        </w:tc>
        <w:tc>
          <w:tcPr>
            <w:tcW w:w="25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w:t>
            </w:r>
          </w:p>
        </w:tc>
      </w:tr>
      <w:tr>
        <w:tblPrEx>
          <w:tblW w:w="5000" w:type="pct"/>
          <w:jc w:val="left"/>
        </w:tblPrEx>
        <w:trPr>
          <w:trHeight w:val="180"/>
          <w:jc w:val="left"/>
        </w:trPr>
        <w:tc>
          <w:tcPr>
            <w:tcW w:w="288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Anwendungsspezifische Autorisierung</w:t>
            </w:r>
          </w:p>
        </w:tc>
        <w:tc>
          <w:tcPr>
            <w:tcW w:w="25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authorizeAccess</w:t>
            </w:r>
          </w:p>
        </w:tc>
        <w:tc>
          <w:tcPr>
            <w:tcW w:w="261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Trace-Id</w:t>
            </w:r>
            <w:r>
              <w:br/>
            </w:r>
            <w:r>
              <w:t>Session-Id</w:t>
            </w:r>
            <w:r>
              <w:br/>
            </w:r>
            <w:r>
              <w:t>Authorization-Scopes</w:t>
            </w:r>
            <w:r>
              <w:br/>
            </w:r>
            <w:r>
              <w:t>Authorization-Details</w:t>
            </w:r>
            <w:r>
              <w:br/>
            </w:r>
            <w:r>
              <w:t>Subject-Information</w:t>
            </w:r>
            <w:r>
              <w:br/>
            </w:r>
            <w:r>
              <w:t>Client-Information</w:t>
            </w:r>
            <w:r>
              <w:br/>
            </w:r>
            <w:r>
              <w:t>PDP-Decision</w:t>
            </w:r>
          </w:p>
        </w:tc>
        <w:tc>
          <w:tcPr>
            <w:tcW w:w="25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Zugriff erlauben Ja/Nein</w:t>
            </w:r>
            <w:r>
              <w:br/>
            </w:r>
            <w:r>
              <w:t>Zusätzliche Authorization Scopes</w:t>
            </w:r>
            <w:r>
              <w:br/>
            </w:r>
            <w:r>
              <w:t>Zusätzliche Authorization Details</w:t>
            </w:r>
            <w:r>
              <w:br/>
            </w:r>
            <w:r>
              <w:t>Zusätzliche Claims</w:t>
            </w:r>
          </w:p>
        </w:tc>
      </w:tr>
      <w:tr>
        <w:tblPrEx>
          <w:tblW w:w="5000" w:type="pct"/>
          <w:jc w:val="left"/>
        </w:tblPrEx>
        <w:trPr>
          <w:trHeight w:val="180"/>
          <w:jc w:val="left"/>
        </w:trPr>
        <w:tc>
          <w:tcPr>
            <w:tcW w:w="288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Benachrichtigung über abgelaufene oder terminierte Sessions</w:t>
            </w:r>
          </w:p>
        </w:tc>
        <w:tc>
          <w:tcPr>
            <w:tcW w:w="25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notifySessionTermination</w:t>
            </w:r>
          </w:p>
        </w:tc>
        <w:tc>
          <w:tcPr>
            <w:tcW w:w="261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Trace-Id</w:t>
            </w:r>
            <w:r>
              <w:br/>
            </w:r>
            <w:r>
              <w:t>Session-Id</w:t>
            </w:r>
          </w:p>
        </w:tc>
        <w:tc>
          <w:tcPr>
            <w:tcW w:w="25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w:t>
            </w:r>
          </w:p>
        </w:tc>
      </w:tr>
    </w:tbl>
    <w:p>
      <w:r>
        <w:rPr>
          <w:b/>
        </w:rPr>
        <w:t>[</w:t>
      </w:r>
      <w:r>
        <w:t>&lt;=</w:t>
      </w:r>
      <w:r>
        <w:rPr>
          <w:b/>
        </w:rPr>
        <w:t>]</w:t>
      </w:r>
    </w:p>
    <w:p>
      <w:pPr>
        <w:pStyle w:val="Heading4"/>
        <w:divId w:val="209"/>
      </w:pPr>
      <w:bookmarkStart w:id="130" w:name="_Toc256000057"/>
      <w:r>
        <w:t>Service Discovery</w:t>
      </w:r>
      <w:bookmarkEnd w:id="130"/>
    </w:p>
    <w:p>
      <w:pPr>
        <w:divId w:val="210"/>
      </w:pPr>
      <w:r>
        <w:t xml:space="preserve">Der Authorization Server ermöglicht Clients die Ermittlung der bereitgestellten Endpunkte durch Abfrage des Well-known json Dokuments unter </w:t>
      </w:r>
      <w:r>
        <w:rPr>
          <w:rFonts w:ascii="Courier New" w:hAnsi="Courier New" w:cs="Courier New"/>
        </w:rPr>
        <w:t>http GET </w:t>
      </w:r>
      <w:r>
        <w:rPr>
          <w:rFonts w:ascii="Courier New" w:hAnsi="Courier New" w:cs="Courier New"/>
          <w:sz w:val="20"/>
          <w:szCs w:val="20"/>
        </w:rPr>
        <w:t>/.well-known/oauth-authorization-server</w:t>
      </w:r>
      <w:r>
        <w:t>. Wenn der FQDN des Authorization Servers nicht bekannt ist, kann das Well-known json Dokuments abgefragt werden, indem ein Endpunkt des Resource Servers ohne gültiges access token aufgerufen wird. Im body der http 401 Response ist das Well-known json Dokument enthalten.</w:t>
      </w:r>
    </w:p>
    <w:p>
      <w:pPr>
        <w:spacing w:before="0" w:after="0"/>
      </w:pPr>
      <w:r>
        <w:rPr>
          <w:vanish/>
        </w:rPr>
        <w:t>Mainline_OPB1/ML-155786</w:t>
      </w:r>
      <w:r>
        <w:rPr>
          <w:b/>
        </w:rPr>
        <w:t>A_26037</w:t>
      </w:r>
      <w:r>
        <w:rPr>
          <w:b/>
        </w:rPr>
        <w:t xml:space="preserve"> - </w:t>
      </w:r>
      <w:r>
        <w:rPr>
          <w:b/>
        </w:rPr>
        <w:t>PEP Authorization Server, Well-known</w:t>
      </w:r>
    </w:p>
    <w:p>
      <w:r>
        <w:t xml:space="preserve">Die Komponente http Proxy MUSS für den Authorization Server ein Well-known json Dokument gemäß [RFC8615] und [RFC8414] unter folgender URL bereitstellen: </w:t>
      </w:r>
      <w:hyperlink r:id="rId15" w:history="1">
        <w:r>
          <w:rPr>
            <w:color w:val="0000FF" w:themeColor="hyperlink"/>
            <w:u w:val="single"/>
          </w:rPr>
          <w:t>https://&lt;as-fqdn&gt;/.well-known/oauth-authorization-server</w:t>
        </w:r>
      </w:hyperlink>
      <w:r>
        <w:t> </w:t>
      </w:r>
      <w:r>
        <w:br/>
      </w:r>
      <w:r>
        <w:t xml:space="preserve">Das Well-known json Dokument MUSS mit dem Schema  </w:t>
      </w:r>
      <w:hyperlink r:id="rId16" w:history="1">
        <w:r>
          <w:rPr>
            <w:color w:val="0000FF" w:themeColor="hyperlink"/>
            <w:u w:val="single"/>
          </w:rPr>
          <w:t>https://raw.githubusercontent.com/gematik/spec-t20r/main/src/schemas/as-well-known.yaml</w:t>
        </w:r>
      </w:hyperlink>
      <w:r>
        <w:t> validiert werden können.</w:t>
      </w:r>
      <w:r>
        <w:br/>
      </w:r>
      <w:r>
        <w:t xml:space="preserve">Das Attribut </w:t>
      </w:r>
      <w:r>
        <w:rPr>
          <w:rFonts w:ascii="Courier New" w:hAnsi="Courier New" w:cs="Courier New"/>
        </w:rPr>
        <w:t>scopes_supported</w:t>
      </w:r>
      <w:r>
        <w:t xml:space="preserve"> MUSS mindestens die folgenden Werte enthalten:</w:t>
      </w:r>
      <w:r>
        <w:br/>
      </w:r>
      <w:r>
        <w:rPr>
          <w:rFonts w:ascii="Courier New" w:hAnsi="Courier New" w:cs="Courier New"/>
        </w:rPr>
        <w:t>- z</w:t>
      </w:r>
      <w:r>
        <w:rPr>
          <w:rFonts w:ascii="Courier New" w:hAnsi="Courier New" w:cs="Courier New"/>
        </w:rPr>
        <w:t>ero:register</w:t>
      </w:r>
      <w:r>
        <w:br/>
      </w:r>
      <w:r>
        <w:rPr>
          <w:rFonts w:ascii="Courier New" w:hAnsi="Courier New" w:cs="Courier New"/>
        </w:rPr>
        <w:t>- zero:manage</w:t>
      </w:r>
      <w:r>
        <w:br/>
      </w:r>
      <w:r>
        <w:t xml:space="preserve">Weitere Werte für das Attribut </w:t>
      </w:r>
      <w:r>
        <w:rPr>
          <w:rFonts w:ascii="Courier New" w:hAnsi="Courier New" w:cs="Courier New"/>
        </w:rPr>
        <w:t>scopes_supported</w:t>
      </w:r>
      <w:r>
        <w:t xml:space="preserve"> müssen per Konfiguration ergänzt werden können.</w:t>
      </w:r>
      <w:r>
        <w:br/>
      </w:r>
      <w:r>
        <w:t xml:space="preserve">Es MUSS ein Attribut </w:t>
      </w:r>
      <w:r>
        <w:rPr>
          <w:rFonts w:ascii="Courier New" w:hAnsi="Courier New" w:cs="Courier New"/>
        </w:rPr>
        <w:t>nonce_endpoint</w:t>
      </w:r>
      <w:r>
        <w:t xml:space="preserve"> enthalten sein, dass die URL zur Abfrage neuer Nonce-Werte angibt.</w:t>
      </w:r>
      <w:r>
        <w:br/>
      </w:r>
      <w:r>
        <w:t xml:space="preserve">Es MUSS ein Attribut </w:t>
      </w:r>
      <w:r>
        <w:rPr>
          <w:rFonts w:ascii="Courier New" w:hAnsi="Courier New" w:cs="Courier New"/>
        </w:rPr>
        <w:t>openid_providers_endpoint</w:t>
      </w:r>
      <w:r>
        <w:t xml:space="preserve"> enthalten sein, dass die URL zur Abfrage der unterstützten OpenID Provider enthält.</w:t>
      </w:r>
      <w:r>
        <w:rPr>
          <w:b/>
        </w:rPr>
        <w:t>[</w:t>
      </w:r>
      <w:r>
        <w:t>&lt;=</w:t>
      </w:r>
      <w:r>
        <w:rPr>
          <w:b/>
        </w:rPr>
        <w:t>]</w:t>
      </w:r>
    </w:p>
    <w:p>
      <w:pPr>
        <w:divId w:val="211"/>
      </w:pPr>
      <w:r>
        <w:rPr>
          <w:i/>
        </w:rPr>
        <w:t>Hinweis: Der FQDN des Authorization Servers wird vom Anbieter des TI 2.0 Dienstes vergeben.</w:t>
      </w:r>
      <w:r>
        <w:br/>
      </w:r>
      <w:r>
        <w:rPr>
          <w:i/>
        </w:rPr>
        <w:t xml:space="preserve">Die unterstützten OpenID Provider sind in der PU  </w:t>
      </w:r>
      <w:hyperlink r:id="rId17" w:history="1">
        <w:r>
          <w:rPr>
            <w:i/>
            <w:color w:val="0000FF" w:themeColor="hyperlink"/>
            <w:u w:val="single"/>
          </w:rPr>
          <w:t>https://idp.app.ti-dienste.de/directory/fed_idp_list</w:t>
        </w:r>
      </w:hyperlink>
      <w:r>
        <w:rPr>
          <w:i/>
        </w:rPr>
        <w:t xml:space="preserve">  und in der RU </w:t>
      </w:r>
      <w:hyperlink r:id="rId18" w:history="1">
        <w:r>
          <w:rPr>
            <w:i/>
            <w:color w:val="0000FF" w:themeColor="hyperlink"/>
            <w:u w:val="single"/>
          </w:rPr>
          <w:t>https://idp-ref.app.ti-dienste.de/directory/fed_idp_list</w:t>
        </w:r>
      </w:hyperlink>
      <w:r>
        <w:rPr>
          <w:i/>
        </w:rPr>
        <w:t>.</w:t>
      </w:r>
    </w:p>
    <w:p>
      <w:pPr>
        <w:spacing w:before="0" w:after="0"/>
      </w:pPr>
      <w:r>
        <w:rPr>
          <w:vanish/>
        </w:rPr>
        <w:t>Mainline_OPB1/ML-156138</w:t>
      </w:r>
      <w:r>
        <w:rPr>
          <w:b/>
        </w:rPr>
        <w:t>A_26090</w:t>
      </w:r>
      <w:r>
        <w:rPr>
          <w:b/>
        </w:rPr>
        <w:t xml:space="preserve"> - </w:t>
      </w:r>
      <w:r>
        <w:rPr>
          <w:b/>
        </w:rPr>
        <w:t>PEP Authorization Server, Well-known Erstellung</w:t>
      </w:r>
    </w:p>
    <w:p>
      <w:r>
        <w:t>Die Komponente http Proxy MUSS für den Authorization Sever das Well-known json Dokument aus den Konfigurationsdaten des Zero Trust Clusters erzeugen. </w:t>
      </w:r>
      <w:r>
        <w:br/>
      </w:r>
      <w:r>
        <w:t xml:space="preserve"> </w:t>
      </w:r>
      <w:r>
        <w:rPr>
          <w:b/>
        </w:rPr>
        <w:t>[</w:t>
      </w:r>
      <w:r>
        <w:t>&lt;=</w:t>
      </w:r>
      <w:r>
        <w:rPr>
          <w:b/>
        </w:rPr>
        <w:t>]</w:t>
      </w:r>
    </w:p>
    <w:p>
      <w:pPr>
        <w:divId w:val="212"/>
      </w:pPr>
      <w:r>
        <w:t>Beispiel Well-known json Dokument des Authorization Servers:</w:t>
      </w:r>
      <w:r>
        <w:br/>
      </w:r>
      <w:r>
        <w:rPr>
          <w:rFonts w:ascii="Courier New" w:hAnsi="Courier New" w:cs="Courier New"/>
        </w:rPr>
        <w:t>{</w:t>
      </w:r>
      <w:r>
        <w:br/>
      </w:r>
      <w:r>
        <w:rPr>
          <w:rFonts w:ascii="Courier New" w:hAnsi="Courier New" w:cs="Courier New"/>
        </w:rPr>
        <w:t>  "issuer": "https://zerobin.zt.dev.ccs.gematik.solutions",</w:t>
      </w:r>
      <w:r>
        <w:br/>
      </w:r>
      <w:r>
        <w:rPr>
          <w:rFonts w:ascii="Courier New" w:hAnsi="Courier New" w:cs="Courier New"/>
        </w:rPr>
        <w:t>  "authorization_endpoint": "https://zerobin.zt.dev.ccs.gematik.solutions/auth",</w:t>
      </w:r>
      <w:r>
        <w:br/>
      </w:r>
      <w:r>
        <w:rPr>
          <w:rFonts w:ascii="Courier New" w:hAnsi="Courier New" w:cs="Courier New"/>
        </w:rPr>
        <w:t>  "token_endpoint": "https://zerobin.zt.dev.ccs.gematik.solutions/token",</w:t>
      </w:r>
      <w:r>
        <w:br/>
      </w:r>
      <w:r>
        <w:rPr>
          <w:rFonts w:ascii="Courier New" w:hAnsi="Courier New" w:cs="Courier New"/>
        </w:rPr>
        <w:t>  "jwks_uri": "https://zerobin.zt.dev.ccs.gematik.solutions/jwks",</w:t>
      </w:r>
      <w:r>
        <w:br/>
      </w:r>
      <w:r>
        <w:rPr>
          <w:rFonts w:ascii="Courier New" w:hAnsi="Courier New" w:cs="Courier New"/>
        </w:rPr>
        <w:t>  "nonce_endpoint": "https://zerobin.zt.dev.ccs.gematik.solutions/nonce"</w:t>
      </w:r>
      <w:r>
        <w:br/>
      </w:r>
      <w:r>
        <w:rPr>
          <w:rFonts w:ascii="Courier New" w:hAnsi="Courier New" w:cs="Courier New"/>
        </w:rPr>
        <w:t>  "openid_providers_endpoint": "https://idp.app.ti-dienste.de/directory/fed_idp_list"</w:t>
      </w:r>
      <w:r>
        <w:br/>
      </w:r>
      <w:r>
        <w:rPr>
          <w:rFonts w:ascii="Courier New" w:hAnsi="Courier New" w:cs="Courier New"/>
        </w:rPr>
        <w:t>  "scopes_supported": [</w:t>
      </w:r>
      <w:r>
        <w:br/>
      </w:r>
      <w:r>
        <w:rPr>
          <w:rFonts w:ascii="Courier New" w:hAnsi="Courier New" w:cs="Courier New"/>
        </w:rPr>
        <w:t>    "zero:register",</w:t>
      </w:r>
      <w:r>
        <w:br/>
      </w:r>
      <w:r>
        <w:rPr>
          <w:rFonts w:ascii="Courier New" w:hAnsi="Courier New" w:cs="Courier New"/>
        </w:rPr>
        <w:t>    "zero:manage"</w:t>
      </w:r>
      <w:r>
        <w:br/>
      </w:r>
      <w:r>
        <w:rPr>
          <w:rFonts w:ascii="Courier New" w:hAnsi="Courier New" w:cs="Courier New"/>
        </w:rPr>
        <w:t>  ],</w:t>
      </w:r>
      <w:r>
        <w:br/>
      </w:r>
      <w:r>
        <w:rPr>
          <w:rFonts w:ascii="Courier New" w:hAnsi="Courier New" w:cs="Courier New"/>
        </w:rPr>
        <w:t>  "response_types_supported": [</w:t>
      </w:r>
      <w:r>
        <w:br/>
      </w:r>
      <w:r>
        <w:rPr>
          <w:rFonts w:ascii="Courier New" w:hAnsi="Courier New" w:cs="Courier New"/>
        </w:rPr>
        <w:t>    "code"</w:t>
      </w:r>
      <w:r>
        <w:br/>
      </w:r>
      <w:r>
        <w:rPr>
          <w:rFonts w:ascii="Courier New" w:hAnsi="Courier New" w:cs="Courier New"/>
        </w:rPr>
        <w:t>  ],</w:t>
      </w:r>
      <w:r>
        <w:br/>
      </w:r>
      <w:r>
        <w:rPr>
          <w:rFonts w:ascii="Courier New" w:hAnsi="Courier New" w:cs="Courier New"/>
        </w:rPr>
        <w:t>  "response_modes_supported": [</w:t>
      </w:r>
      <w:r>
        <w:br/>
      </w:r>
      <w:r>
        <w:rPr>
          <w:rFonts w:ascii="Courier New" w:hAnsi="Courier New" w:cs="Courier New"/>
        </w:rPr>
        <w:t>    "query"</w:t>
      </w:r>
      <w:r>
        <w:br/>
      </w:r>
      <w:r>
        <w:rPr>
          <w:rFonts w:ascii="Courier New" w:hAnsi="Courier New" w:cs="Courier New"/>
        </w:rPr>
        <w:t>  ],</w:t>
      </w:r>
      <w:r>
        <w:br/>
      </w:r>
      <w:r>
        <w:rPr>
          <w:rFonts w:ascii="Courier New" w:hAnsi="Courier New" w:cs="Courier New"/>
        </w:rPr>
        <w:t>  "grant_types_supported": [</w:t>
      </w:r>
      <w:r>
        <w:br/>
      </w:r>
      <w:r>
        <w:rPr>
          <w:rFonts w:ascii="Courier New" w:hAnsi="Courier New" w:cs="Courier New"/>
        </w:rPr>
        <w:t>    "authorization_code"</w:t>
      </w:r>
      <w:r>
        <w:br/>
      </w:r>
      <w:r>
        <w:rPr>
          <w:rFonts w:ascii="Courier New" w:hAnsi="Courier New" w:cs="Courier New"/>
        </w:rPr>
        <w:t>  ],</w:t>
      </w:r>
      <w:r>
        <w:br/>
      </w:r>
      <w:r>
        <w:rPr>
          <w:rFonts w:ascii="Courier New" w:hAnsi="Courier New" w:cs="Courier New"/>
        </w:rPr>
        <w:t>  "token_endpoint_auth_methods_supported": [</w:t>
      </w:r>
      <w:r>
        <w:br/>
      </w:r>
      <w:r>
        <w:rPr>
          <w:rFonts w:ascii="Courier New" w:hAnsi="Courier New" w:cs="Courier New"/>
        </w:rPr>
        <w:t>    "none"</w:t>
      </w:r>
      <w:r>
        <w:br/>
      </w:r>
      <w:r>
        <w:rPr>
          <w:rFonts w:ascii="Courier New" w:hAnsi="Courier New" w:cs="Courier New"/>
        </w:rPr>
        <w:t>  ],</w:t>
      </w:r>
      <w:r>
        <w:br/>
      </w:r>
      <w:r>
        <w:rPr>
          <w:rFonts w:ascii="Courier New" w:hAnsi="Courier New" w:cs="Courier New"/>
        </w:rPr>
        <w:t>  "token_endpoint_auth_signing_alg_values_supported": [</w:t>
      </w:r>
      <w:r>
        <w:br/>
      </w:r>
      <w:r>
        <w:rPr>
          <w:rFonts w:ascii="Courier New" w:hAnsi="Courier New" w:cs="Courier New"/>
        </w:rPr>
        <w:t>    "ES256"</w:t>
      </w:r>
      <w:r>
        <w:br/>
      </w:r>
      <w:r>
        <w:rPr>
          <w:rFonts w:ascii="Courier New" w:hAnsi="Courier New" w:cs="Courier New"/>
        </w:rPr>
        <w:t>  ],</w:t>
      </w:r>
      <w:r>
        <w:br/>
      </w:r>
      <w:r>
        <w:rPr>
          <w:rFonts w:ascii="Courier New" w:hAnsi="Courier New" w:cs="Courier New"/>
        </w:rPr>
        <w:t>  "service_documentation": "https://gihub.com/gemazik/zero-lab",</w:t>
      </w:r>
      <w:r>
        <w:br/>
      </w:r>
      <w:r>
        <w:rPr>
          <w:rFonts w:ascii="Courier New" w:hAnsi="Courier New" w:cs="Courier New"/>
        </w:rPr>
        <w:t>  "ui_locales_supported": [</w:t>
      </w:r>
      <w:r>
        <w:br/>
      </w:r>
      <w:r>
        <w:rPr>
          <w:rFonts w:ascii="Courier New" w:hAnsi="Courier New" w:cs="Courier New"/>
        </w:rPr>
        <w:t>    "de",</w:t>
      </w:r>
      <w:r>
        <w:br/>
      </w:r>
      <w:r>
        <w:rPr>
          <w:rFonts w:ascii="Courier New" w:hAnsi="Courier New" w:cs="Courier New"/>
        </w:rPr>
        <w:t>    "en"</w:t>
      </w:r>
      <w:r>
        <w:br/>
      </w:r>
      <w:r>
        <w:rPr>
          <w:rFonts w:ascii="Courier New" w:hAnsi="Courier New" w:cs="Courier New"/>
        </w:rPr>
        <w:t>  ],</w:t>
      </w:r>
      <w:r>
        <w:br/>
      </w:r>
      <w:r>
        <w:rPr>
          <w:rFonts w:ascii="Courier New" w:hAnsi="Courier New" w:cs="Courier New"/>
        </w:rPr>
        <w:t>  "code_challenge_methods_supported": [</w:t>
      </w:r>
      <w:r>
        <w:br/>
      </w:r>
      <w:r>
        <w:rPr>
          <w:rFonts w:ascii="Courier New" w:hAnsi="Courier New" w:cs="Courier New"/>
        </w:rPr>
        <w:t>    "S256"</w:t>
      </w:r>
      <w:r>
        <w:br/>
      </w:r>
      <w:r>
        <w:rPr>
          <w:rFonts w:ascii="Courier New" w:hAnsi="Courier New" w:cs="Courier New"/>
        </w:rPr>
        <w:t>  ]</w:t>
      </w:r>
      <w:r>
        <w:br/>
      </w:r>
      <w:r>
        <w:rPr>
          <w:rFonts w:ascii="Courier New" w:hAnsi="Courier New" w:cs="Courier New"/>
        </w:rPr>
        <w:t>}</w:t>
      </w:r>
    </w:p>
    <w:p>
      <w:pPr>
        <w:pStyle w:val="Heading4"/>
        <w:divId w:val="213"/>
      </w:pPr>
      <w:bookmarkStart w:id="131" w:name="_Toc256000058"/>
      <w:r>
        <w:t>Ablauf der SM-B Authentifizierung mit DPoP</w:t>
      </w:r>
      <w:bookmarkEnd w:id="131"/>
    </w:p>
    <w:p>
      <w:pPr>
        <w:divId w:val="214"/>
        <w:ind w:left="0" w:right="0"/>
      </w:pPr>
      <w:r>
        <w:rPr>
          <w:shd w:val="clear" w:color="auto" w:fill="FFFFFF"/>
        </w:rPr>
        <w:t>Die SM-B Authentifizierung wird für Nutzer und Clients angeboten, die nicht über andere geeignete Credentials verfügen, um sich als berechtigte TI-Teilnehmer auszuweisen. Die Authentifizierung erfolgt gemäß OAuth2 Client Authentifizierung [RFC7523] mit SM-B signiertem Client Assertion JWT. Replay-Attacken werden durch die Aufnahme einer server-generierten Nonce als JTI Claim in der Client-Assertion verhindert.</w:t>
      </w:r>
    </w:p>
    <w:p>
      <w:pPr>
        <w:spacing w:before="0" w:after="0"/>
      </w:pPr>
      <w:r>
        <w:rPr>
          <w:vanish/>
        </w:rPr>
        <w:t>Mainline_OPB1/ML-156146</w:t>
      </w:r>
      <w:r>
        <w:rPr>
          <w:b/>
        </w:rPr>
        <w:t>A_26091</w:t>
      </w:r>
      <w:r>
        <w:rPr>
          <w:b/>
        </w:rPr>
        <w:t xml:space="preserve"> - </w:t>
      </w:r>
      <w:r>
        <w:rPr>
          <w:b/>
        </w:rPr>
        <w:t>ZT Cluster, SM-B Authentifizierung mit DPoP</w:t>
      </w:r>
    </w:p>
    <w:p>
      <w:r>
        <w:t xml:space="preserve">Der Zero Trust Cluster MUSS den Ablauf gemäß </w:t>
      </w:r>
      <w:r>
        <w:t>Abbildung S</w:t>
      </w:r>
      <w:r>
        <w:rPr>
          <w:i/>
        </w:rPr>
        <w:t>M-B_Authentisierung_mit_DPoP</w:t>
      </w:r>
      <w:r>
        <w:t> sowie gemäß [RFC7523] und [RFC9449] unterstützen.</w:t>
      </w:r>
      <w:r>
        <w:rPr>
          <w:b/>
        </w:rPr>
        <w:t>[</w:t>
      </w:r>
      <w:r>
        <w:t>&lt;=</w:t>
      </w:r>
      <w:r>
        <w:rPr>
          <w:b/>
        </w:rPr>
        <w:t>]</w:t>
      </w:r>
    </w:p>
    <w:p>
      <w:pPr>
        <w:divId w:val="215"/>
        <w:jc w:val="center"/>
      </w:pPr>
      <w:r>
        <w:drawing>
          <wp:inline distT="0" distB="0" distL="0" distR="0">
            <wp:extent cx="5759450" cy="7327793"/>
            <wp:effectExtent l="0" t="0" r="0" b="0"/>
            <wp:docPr id="69" name="attachment_SM-B_Auth_with_DPoP__8_.png">
              <a:hlinkClick xmlns:a="http://schemas.openxmlformats.org/drawingml/2006/main" xmlns:r="http://schemas.openxmlformats.org/officeDocument/2006/relationships"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attachment_SM-B_Auth_with_DPoP__8_.png"/>
                    <pic:cNvPicPr/>
                  </pic:nvPicPr>
                  <pic:blipFill>
                    <a:blip xmlns:r="http://schemas.openxmlformats.org/officeDocument/2006/relationships" r:embed="rId20"/>
                    <a:stretch>
                      <a:fillRect/>
                    </a:stretch>
                  </pic:blipFill>
                  <pic:spPr>
                    <a:xfrm>
                      <a:off x="0" y="0"/>
                      <a:ext cx="5759450" cy="7327793"/>
                    </a:xfrm>
                    <a:prstGeom prst="rect">
                      <a:avLst/>
                    </a:prstGeom>
                  </pic:spPr>
                </pic:pic>
              </a:graphicData>
            </a:graphic>
          </wp:inline>
        </w:drawing>
      </w:r>
    </w:p>
    <w:p>
      <w:pPr>
        <w:pStyle w:val="Caption"/>
        <w:jc w:val="center"/>
      </w:pPr>
      <w:bookmarkStart w:id="132" w:name="_Toc256000088"/>
      <w:r>
        <w:t xml:space="preserve">Abbildung </w:t>
      </w:r>
      <w:r>
        <w:fldChar w:fldCharType="begin"/>
      </w:r>
      <w:r>
        <w:instrText xml:space="preserve"> SEQ Abbildung \* ARABIC </w:instrText>
      </w:r>
      <w:r>
        <w:fldChar w:fldCharType="separate"/>
      </w:r>
      <w:r>
        <w:t>3</w:t>
      </w:r>
      <w:r>
        <w:fldChar w:fldCharType="end"/>
      </w:r>
      <w:r>
        <w:t xml:space="preserve"> SM-B_Authentisierung_mit_DPoP</w:t>
      </w:r>
      <w:bookmarkEnd w:id="132"/>
    </w:p>
    <w:p>
      <w:pPr>
        <w:divId w:val="216"/>
      </w:pPr>
      <w:r>
        <w:t>Schritt (1) bis (4) dienen dazu die Endpunkte des Authorization Servers zu ermitteln. Wenn der FQDN des Authorization Servers noch nicht bekannt ist, dann versucht der Client in Schritt (1) auf Daten des Resource Servers zuzugreifen. Die Anfrage wird vom http Proxy mit http 401 Unauthorized abgelehnt und der Client erhält das Well-known json Dokument mit den Endpunkten des Authorization Servers. Alternativ kann bei bekanntem FQDN des Authorization Servers das Well-known json Dokument direkt abgefragt werden (Schritte (3) und (4)).</w:t>
      </w:r>
    </w:p>
    <w:p>
      <w:pPr>
        <w:divId w:val="217"/>
      </w:pPr>
      <w:r>
        <w:t xml:space="preserve">Im Schritt (05) generiert der Client ein </w:t>
      </w:r>
      <w:r>
        <w:rPr>
          <w:sz w:val="20"/>
          <w:szCs w:val="20"/>
        </w:rPr>
        <w:t>ephemeres key pair für DPoP ([RFC9449]). DPoP stellt kryptografisch sicher, dass Access token, die für diesen Client vom Authorization Server ausgestellt wurden, auch nur von diesem Client verwendet werden können.</w:t>
      </w:r>
    </w:p>
    <w:p>
      <w:pPr>
        <w:divId w:val="218"/>
      </w:pPr>
      <w:r>
        <w:rPr>
          <w:rFonts w:ascii="Courier New" w:hAnsi="Courier New" w:cs="Courier New"/>
          <w:sz w:val="20"/>
          <w:szCs w:val="20"/>
        </w:rPr>
        <w:t>{</w:t>
      </w:r>
      <w:r>
        <w:br/>
      </w:r>
      <w:r>
        <w:rPr>
          <w:rFonts w:ascii="Courier New" w:hAnsi="Courier New" w:cs="Courier New"/>
          <w:sz w:val="20"/>
          <w:szCs w:val="20"/>
        </w:rPr>
        <w:t>     "crv": "P-256",</w:t>
      </w:r>
      <w:r>
        <w:br/>
      </w:r>
      <w:r>
        <w:rPr>
          <w:rFonts w:ascii="Courier New" w:hAnsi="Courier New" w:cs="Courier New"/>
          <w:sz w:val="20"/>
          <w:szCs w:val="20"/>
        </w:rPr>
        <w:t>     "kty": "EC",</w:t>
      </w:r>
      <w:r>
        <w:br/>
      </w:r>
      <w:r>
        <w:rPr>
          <w:rFonts w:ascii="Courier New" w:hAnsi="Courier New" w:cs="Courier New"/>
          <w:sz w:val="20"/>
          <w:szCs w:val="20"/>
        </w:rPr>
        <w:t>     "x": "...",</w:t>
      </w:r>
      <w:r>
        <w:br/>
      </w:r>
      <w:r>
        <w:rPr>
          <w:rFonts w:ascii="Courier New" w:hAnsi="Courier New" w:cs="Courier New"/>
          <w:sz w:val="20"/>
          <w:szCs w:val="20"/>
        </w:rPr>
        <w:t>     "y": "...",</w:t>
      </w:r>
      <w:r>
        <w:br/>
      </w:r>
      <w:r>
        <w:rPr>
          <w:rFonts w:ascii="Courier New" w:hAnsi="Courier New" w:cs="Courier New"/>
          <w:sz w:val="20"/>
          <w:szCs w:val="20"/>
        </w:rPr>
        <w:t>     "d": "..."</w:t>
      </w:r>
      <w:r>
        <w:br/>
      </w:r>
      <w:r>
        <w:rPr>
          <w:rFonts w:ascii="Courier New" w:hAnsi="Courier New" w:cs="Courier New"/>
          <w:sz w:val="20"/>
          <w:szCs w:val="20"/>
        </w:rPr>
        <w:t>} </w:t>
      </w:r>
    </w:p>
    <w:p>
      <w:pPr>
        <w:divId w:val="219"/>
      </w:pPr>
      <w:r>
        <w:t>Zur Abwehr von Replay-Attacken wird in Schritt (06) eine server-generierte Nonce abgefragt.</w:t>
      </w:r>
    </w:p>
    <w:p>
      <w:pPr>
        <w:divId w:val="220"/>
      </w:pPr>
      <w:r>
        <w:rPr>
          <w:rFonts w:ascii="Courier New" w:hAnsi="Courier New" w:cs="Courier New"/>
        </w:rPr>
        <w:t>HEAD /nonce http/1.1</w:t>
      </w:r>
      <w:r>
        <w:br/>
      </w:r>
      <w:r>
        <w:rPr>
          <w:rFonts w:ascii="Courier New" w:hAnsi="Courier New" w:cs="Courier New"/>
        </w:rPr>
        <w:t>Host: as.example.com</w:t>
      </w:r>
      <w:r>
        <w:br/>
      </w:r>
      <w:r>
        <w:rPr>
          <w:rFonts w:ascii="Courier New" w:hAnsi="Courier New" w:cs="Courier New"/>
        </w:rPr>
        <w:t> </w:t>
      </w:r>
      <w:r>
        <w:br/>
      </w:r>
      <w:r>
        <w:rPr>
          <w:rFonts w:ascii="Courier New" w:hAnsi="Courier New" w:cs="Courier New"/>
        </w:rPr>
        <w:t>http/1.1 200 OK</w:t>
      </w:r>
      <w:r>
        <w:br/>
      </w:r>
      <w:r>
        <w:rPr>
          <w:rFonts w:ascii="Courier New" w:hAnsi="Courier New" w:cs="Courier New"/>
        </w:rPr>
        <w:t>new-nonce: ...Nonce from the AS...</w:t>
      </w:r>
    </w:p>
    <w:p>
      <w:pPr>
        <w:divId w:val="221"/>
      </w:pPr>
      <w:r>
        <w:t>Danach erzeugt der Client in Schritt (08) bis (13) das Client Assertion JWT, in dem auch Informationen über das Gerät, das Betriebssystem und die App (PS) enthalten sind. Das JWT wird mit der SM-B signiert. Im Attribut </w:t>
      </w:r>
      <w:r>
        <w:rPr>
          <w:rFonts w:ascii="Courier New" w:hAnsi="Courier New" w:cs="Courier New"/>
        </w:rPr>
        <w:t>"jkt"</w:t>
      </w:r>
      <w:r>
        <w:t xml:space="preserve"> ist der Hash des öffentlichen Schlüssels des Client DPoP Keys enthalten.</w:t>
      </w:r>
    </w:p>
    <w:p>
      <w:pPr>
        <w:divId w:val="222"/>
      </w:pPr>
      <w:r>
        <w:rPr>
          <w:rFonts w:ascii="Courier New" w:hAnsi="Courier New" w:cs="Courier New"/>
        </w:rPr>
        <w:t>{</w:t>
      </w:r>
      <w:r>
        <w:br/>
      </w:r>
      <w:r>
        <w:rPr>
          <w:rFonts w:ascii="Courier New" w:hAnsi="Courier New" w:cs="Courier New"/>
        </w:rPr>
        <w:t>    "nonce": "...Nonce from the AS...",</w:t>
      </w:r>
      <w:r>
        <w:br/>
      </w:r>
      <w:r>
        <w:rPr>
          <w:rFonts w:ascii="Courier New" w:hAnsi="Courier New" w:cs="Courier New"/>
        </w:rPr>
        <w:t>    "iss":"urn:telematik:telematik-id:9-123456789", // Telematik ID from X.509 certificate</w:t>
      </w:r>
      <w:r>
        <w:br/>
      </w:r>
      <w:r>
        <w:rPr>
          <w:rFonts w:ascii="Courier New" w:hAnsi="Courier New" w:cs="Courier New"/>
        </w:rPr>
        <w:t>    "sub":"...Client ID...",</w:t>
      </w:r>
      <w:r>
        <w:br/>
      </w:r>
      <w:r>
        <w:rPr>
          <w:rFonts w:ascii="Courier New" w:hAnsi="Courier New" w:cs="Courier New"/>
        </w:rPr>
        <w:t xml:space="preserve">    "aud":" </w:t>
      </w:r>
      <w:hyperlink r:id="rId21" w:history="1">
        <w:r>
          <w:rPr>
            <w:rFonts w:ascii="Courier New" w:hAnsi="Courier New" w:cs="Courier New"/>
            <w:color w:val="0000FF" w:themeColor="hyperlink"/>
            <w:u w:val="single"/>
          </w:rPr>
          <w:t>https://as.example.com</w:t>
        </w:r>
      </w:hyperlink>
      <w:r>
        <w:rPr>
          <w:rFonts w:ascii="Courier New" w:hAnsi="Courier New" w:cs="Courier New"/>
        </w:rPr>
        <w:t>", // AS URL</w:t>
      </w:r>
      <w:r>
        <w:br/>
      </w:r>
      <w:r>
        <w:rPr>
          <w:rFonts w:ascii="Courier New" w:hAnsi="Courier New" w:cs="Courier New"/>
        </w:rPr>
        <w:t>    "iat":1562262611,</w:t>
      </w:r>
      <w:r>
        <w:br/>
      </w:r>
      <w:r>
        <w:rPr>
          <w:rFonts w:ascii="Courier New" w:hAnsi="Courier New" w:cs="Courier New"/>
        </w:rPr>
        <w:t>    "exp":1562266216,</w:t>
      </w:r>
      <w:r>
        <w:br/>
      </w:r>
      <w:r>
        <w:rPr>
          <w:rFonts w:ascii="Courier New" w:hAnsi="Courier New" w:cs="Courier New"/>
        </w:rPr>
        <w:t>    "cnf": {</w:t>
      </w:r>
      <w:r>
        <w:br/>
      </w:r>
      <w:r>
        <w:rPr>
          <w:rFonts w:ascii="Courier New" w:hAnsi="Courier New" w:cs="Courier New"/>
        </w:rPr>
        <w:t>        "jkt":"..thumbprint of the DPoP key..."</w:t>
      </w:r>
      <w:r>
        <w:br/>
      </w:r>
      <w:r>
        <w:rPr>
          <w:rFonts w:ascii="Courier New" w:hAnsi="Courier New" w:cs="Courier New"/>
        </w:rPr>
        <w:t>    },</w:t>
      </w:r>
      <w:r>
        <w:br/>
      </w:r>
      <w:r>
        <w:rPr>
          <w:rFonts w:ascii="Courier New" w:hAnsi="Courier New" w:cs="Courier New"/>
        </w:rPr>
        <w:t>    "urn:telematik:client-self-assessment": {</w:t>
      </w:r>
      <w:r>
        <w:br/>
      </w:r>
      <w:r>
        <w:rPr>
          <w:rFonts w:ascii="Courier New" w:hAnsi="Courier New" w:cs="Courier New"/>
        </w:rPr>
        <w:t>        "product_id": "PS-000",</w:t>
      </w:r>
      <w:r>
        <w:br/>
      </w:r>
      <w:r>
        <w:rPr>
          <w:rFonts w:ascii="Courier New" w:hAnsi="Courier New" w:cs="Courier New"/>
        </w:rPr>
        <w:t>        "product_version": "0.5.0",</w:t>
      </w:r>
      <w:r>
        <w:br/>
      </w:r>
      <w:r>
        <w:rPr>
          <w:rFonts w:ascii="Courier New" w:hAnsi="Courier New" w:cs="Courier New"/>
        </w:rPr>
        <w:t>        "manufacturer_id": "HRST-001",</w:t>
      </w:r>
      <w:r>
        <w:br/>
      </w:r>
      <w:r>
        <w:rPr>
          <w:rFonts w:ascii="Courier New" w:hAnsi="Courier New" w:cs="Courier New"/>
        </w:rPr>
        <w:t>        "platform": "software"</w:t>
      </w:r>
      <w:r>
        <w:br/>
      </w:r>
      <w:r>
        <w:rPr>
          <w:rFonts w:ascii="Courier New" w:hAnsi="Courier New" w:cs="Courier New"/>
        </w:rPr>
        <w:t>        "runtime": {</w:t>
      </w:r>
      <w:r>
        <w:br/>
      </w:r>
      <w:r>
        <w:rPr>
          <w:rFonts w:ascii="Courier New" w:hAnsi="Courier New" w:cs="Courier New"/>
        </w:rPr>
        <w:t>            "os": "Microsoft Windows",</w:t>
      </w:r>
      <w:r>
        <w:br/>
      </w:r>
      <w:r>
        <w:rPr>
          <w:rFonts w:ascii="Courier New" w:hAnsi="Courier New" w:cs="Courier New"/>
        </w:rPr>
        <w:t>            "os_version": "10.0.19045.4291",</w:t>
      </w:r>
      <w:r>
        <w:br/>
      </w:r>
      <w:r>
        <w:rPr>
          <w:rFonts w:ascii="Courier New" w:hAnsi="Courier New" w:cs="Courier New"/>
        </w:rPr>
        <w:t>            "os_arch": "x86",</w:t>
      </w:r>
      <w:r>
        <w:br/>
      </w:r>
      <w:r>
        <w:rPr>
          <w:rFonts w:ascii="Courier New" w:hAnsi="Courier New" w:cs="Courier New"/>
        </w:rPr>
        <w:t>        },</w:t>
      </w:r>
      <w:r>
        <w:br/>
      </w:r>
      <w:r>
        <w:rPr>
          <w:rFonts w:ascii="Courier New" w:hAnsi="Courier New" w:cs="Courier New"/>
        </w:rPr>
        <w:t>}</w:t>
      </w:r>
    </w:p>
    <w:p>
      <w:pPr>
        <w:divId w:val="223"/>
      </w:pPr>
      <w:r>
        <w:t>Der Client erzeugt in Schritt (14) das DPoP Proof JWT, in dem die nonce enthalten ist.</w:t>
      </w:r>
    </w:p>
    <w:p>
      <w:r>
        <w:rPr>
          <w:rFonts w:ascii="Courier New" w:hAnsi="Courier New" w:cs="Courier New"/>
        </w:rPr>
        <w:t>{</w:t>
      </w:r>
      <w:r>
        <w:br/>
      </w:r>
      <w:r>
        <w:rPr>
          <w:rFonts w:ascii="Courier New" w:hAnsi="Courier New" w:cs="Courier New"/>
        </w:rPr>
        <w:t>  "typ":"dpop+jwt",</w:t>
      </w:r>
      <w:r>
        <w:br/>
      </w:r>
      <w:r>
        <w:rPr>
          <w:rFonts w:ascii="Courier New" w:hAnsi="Courier New" w:cs="Courier New"/>
        </w:rPr>
        <w:t>  "alg":"ES256",</w:t>
      </w:r>
      <w:r>
        <w:br/>
      </w:r>
      <w:r>
        <w:rPr>
          <w:rFonts w:ascii="Courier New" w:hAnsi="Courier New" w:cs="Courier New"/>
        </w:rPr>
        <w:t>  "jwk": {</w:t>
      </w:r>
      <w:r>
        <w:br/>
      </w:r>
      <w:r>
        <w:rPr>
          <w:rFonts w:ascii="Courier New" w:hAnsi="Courier New" w:cs="Courier New"/>
        </w:rPr>
        <w:t>    "kty":"EC",</w:t>
      </w:r>
      <w:r>
        <w:br/>
      </w:r>
      <w:r>
        <w:rPr>
          <w:rFonts w:ascii="Courier New" w:hAnsi="Courier New" w:cs="Courier New"/>
        </w:rPr>
        <w:t>    "x":"l8tFrhx-34tV3hRICRDY9zCkDlpBhF42UQUfWVAWBFs",</w:t>
      </w:r>
      <w:r>
        <w:br/>
      </w:r>
      <w:r>
        <w:rPr>
          <w:rFonts w:ascii="Courier New" w:hAnsi="Courier New" w:cs="Courier New"/>
        </w:rPr>
        <w:t>    "y":"9VE4jf_Ok_o64zbTTlcuNJajHmt6v9TDVrU0CdvGRDA",</w:t>
      </w:r>
      <w:r>
        <w:br/>
      </w:r>
      <w:r>
        <w:rPr>
          <w:rFonts w:ascii="Courier New" w:hAnsi="Courier New" w:cs="Courier New"/>
        </w:rPr>
        <w:t>    "crv":"P-256"</w:t>
      </w:r>
      <w:r>
        <w:br/>
      </w:r>
      <w:r>
        <w:rPr>
          <w:rFonts w:ascii="Courier New" w:hAnsi="Courier New" w:cs="Courier New"/>
        </w:rPr>
        <w:t>  }</w:t>
      </w:r>
      <w:r>
        <w:br/>
      </w:r>
      <w:r>
        <w:rPr>
          <w:rFonts w:ascii="Courier New" w:hAnsi="Courier New" w:cs="Courier New"/>
        </w:rPr>
        <w:t>}</w:t>
      </w:r>
      <w:r>
        <w:br/>
      </w:r>
      <w:r>
        <w:rPr>
          <w:rFonts w:ascii="Courier New" w:hAnsi="Courier New" w:cs="Courier New"/>
        </w:rPr>
        <w:t>.</w:t>
      </w:r>
      <w:r>
        <w:br/>
      </w:r>
      <w:r>
        <w:rPr>
          <w:rFonts w:ascii="Courier New" w:hAnsi="Courier New" w:cs="Courier New"/>
        </w:rPr>
        <w:t>{</w:t>
      </w:r>
      <w:r>
        <w:br/>
      </w:r>
      <w:r>
        <w:rPr>
          <w:rFonts w:ascii="Courier New" w:hAnsi="Courier New" w:cs="Courier New"/>
        </w:rPr>
        <w:t>  "jti":"-BwC3ESc6acc2lTc",</w:t>
      </w:r>
      <w:r>
        <w:br/>
      </w:r>
      <w:r>
        <w:rPr>
          <w:rFonts w:ascii="Courier New" w:hAnsi="Courier New" w:cs="Courier New"/>
        </w:rPr>
        <w:t>  "htm":"POST",</w:t>
      </w:r>
      <w:r>
        <w:br/>
      </w:r>
      <w:r>
        <w:rPr>
          <w:rFonts w:ascii="Courier New" w:hAnsi="Courier New" w:cs="Courier New"/>
        </w:rPr>
        <w:t>  "htu":"https://server.example.com/token",</w:t>
      </w:r>
      <w:r>
        <w:br/>
      </w:r>
      <w:r>
        <w:rPr>
          <w:rFonts w:ascii="Courier New" w:hAnsi="Courier New" w:cs="Courier New"/>
        </w:rPr>
        <w:t>  "nonce":"...nonce from the AS..."</w:t>
      </w:r>
      <w:r>
        <w:br/>
      </w:r>
      <w:r>
        <w:rPr>
          <w:rFonts w:ascii="Courier New" w:hAnsi="Courier New" w:cs="Courier New"/>
        </w:rPr>
        <w:t>  "iat":1562262616</w:t>
      </w:r>
      <w:r>
        <w:br/>
      </w:r>
      <w:r>
        <w:rPr>
          <w:rFonts w:ascii="Courier New" w:hAnsi="Courier New" w:cs="Courier New"/>
        </w:rPr>
        <w:t>}</w:t>
      </w:r>
      <w:r>
        <w:br/>
      </w:r>
      <w:r>
        <w:rPr>
          <w:rFonts w:ascii="Courier New" w:hAnsi="Courier New" w:cs="Courier New"/>
        </w:rPr>
        <w:t>.</w:t>
      </w:r>
      <w:r>
        <w:br/>
      </w:r>
      <w:r>
        <w:rPr>
          <w:rFonts w:ascii="Courier New" w:hAnsi="Courier New" w:cs="Courier New"/>
        </w:rPr>
        <w:t>ES256 signature of the DPoP JWT</w:t>
      </w:r>
    </w:p>
    <w:p>
      <w:pPr>
        <w:divId w:val="224"/>
      </w:pPr>
      <w:r>
        <w:t>In Schritt (15) wird ein POST /token Request gesendet, um Access token und Refresh token zu erhalten.</w:t>
      </w:r>
    </w:p>
    <w:p>
      <w:pPr>
        <w:divId w:val="225"/>
      </w:pPr>
      <w:r>
        <w:rPr>
          <w:rFonts w:ascii="Courier New" w:hAnsi="Courier New" w:cs="Courier New"/>
        </w:rPr>
        <w:t>POST /token HTTP/1.1</w:t>
      </w:r>
      <w:r>
        <w:br/>
      </w:r>
      <w:r>
        <w:rPr>
          <w:rFonts w:ascii="Courier New" w:hAnsi="Courier New" w:cs="Courier New"/>
        </w:rPr>
        <w:t>Host: as.example.com</w:t>
      </w:r>
      <w:r>
        <w:br/>
      </w:r>
      <w:r>
        <w:rPr>
          <w:rFonts w:ascii="Courier New" w:hAnsi="Courier New" w:cs="Courier New"/>
        </w:rPr>
        <w:t> </w:t>
      </w:r>
      <w:r>
        <w:br/>
      </w:r>
      <w:r>
        <w:rPr>
          <w:rFonts w:ascii="Courier New" w:hAnsi="Courier New" w:cs="Courier New"/>
        </w:rPr>
        <w:t>grant_type=authorization_code&amp;</w:t>
      </w:r>
      <w:r>
        <w:br/>
      </w:r>
      <w:r>
        <w:rPr>
          <w:rFonts w:ascii="Courier New" w:hAnsi="Courier New" w:cs="Courier New"/>
        </w:rPr>
        <w:t>code=n0esc3NRze7LTCu7iYzS6a5acc3f0ogp4&amp;</w:t>
      </w:r>
      <w:r>
        <w:br/>
      </w:r>
      <w:r>
        <w:rPr>
          <w:rFonts w:ascii="Courier New" w:hAnsi="Courier New" w:cs="Courier New"/>
        </w:rPr>
        <w:t>client_assertion_type=urn%3Aietf%3Aparams%3Aoauth%3Aclient-assertion-type%3Ajwt-bearer&amp;</w:t>
      </w:r>
      <w:r>
        <w:br/>
      </w:r>
      <w:r>
        <w:rPr>
          <w:rFonts w:ascii="Courier New" w:hAnsi="Courier New" w:cs="Courier New"/>
        </w:rPr>
        <w:t>client_assertion=...JWT Assertion signed by SM-C...</w:t>
      </w:r>
    </w:p>
    <w:p>
      <w:pPr>
        <w:divId w:val="226"/>
      </w:pPr>
      <w:r>
        <w:t>Der Authorization Server prüft die im Request übergebenen Client Assertion JWT und DPoP JWT (16) und erzeugt oder aktualisiert den Eintrag für den SM-B Nutzer und seine App in der Client Registry (17).</w:t>
      </w:r>
    </w:p>
    <w:p>
      <w:pPr>
        <w:divId w:val="227"/>
      </w:pPr>
      <w:r>
        <w:t>Wenn ein gültiges Refresh token vorhanden ist, dann kann der Client anstatt der Schritte (06) bis (17) den Schritt (18) nutzen, um das Refresh token gegen ein neues Access token und ein neues Refresh token einzutauschen. Das alte Refresh token wird geprüft (19) und verliert sofort seine Gültigkeit (20).</w:t>
      </w:r>
    </w:p>
    <w:p>
      <w:pPr>
        <w:divId w:val="228"/>
      </w:pPr>
      <w:r>
        <w:t>In Schritt (21) und (22) wird durch den PDP die Entscheidung getroffen, ob die vom Client übergebenen Header-Daten hinreichend sind, um dem Authorization Server zu erlauben, für den Client neue Access und Refresh token auszustellen. Wenn ein Refresh token verwendet wurde, übergibt der Authorization Server zusätzlich Daten aus dem Eintrag in der Client Registry an den PDP.</w:t>
      </w:r>
    </w:p>
    <w:p>
      <w:pPr>
        <w:divId w:val="229"/>
      </w:pPr>
      <w:r>
        <w:t>Wenn die Erlaubnis erteilt wurde, stellt der Authorization Server neue Access und refresh token mit DPoP Binding aus (23) und sendet sie an den Client (24).</w:t>
      </w:r>
    </w:p>
    <w:p>
      <w:pPr>
        <w:divId w:val="230"/>
      </w:pPr>
      <w:r>
        <w:rPr>
          <w:rFonts w:ascii="Courier New" w:hAnsi="Courier New" w:cs="Courier New"/>
        </w:rPr>
        <w:t>HTTP/1.1 200 OK</w:t>
      </w:r>
      <w:r>
        <w:br/>
      </w:r>
      <w:r>
        <w:rPr>
          <w:rFonts w:ascii="Courier New" w:hAnsi="Courier New" w:cs="Courier New"/>
        </w:rPr>
        <w:t>Content-Type: application/json</w:t>
      </w:r>
      <w:r>
        <w:br/>
      </w:r>
      <w:r>
        <w:rPr>
          <w:rFonts w:ascii="Courier New" w:hAnsi="Courier New" w:cs="Courier New"/>
        </w:rPr>
        <w:t> </w:t>
      </w:r>
      <w:r>
        <w:br/>
      </w:r>
      <w:r>
        <w:rPr>
          <w:rFonts w:ascii="Courier New" w:hAnsi="Courier New" w:cs="Courier New"/>
        </w:rPr>
        <w:t>{</w:t>
      </w:r>
      <w:r>
        <w:br/>
      </w:r>
      <w:r>
        <w:rPr>
          <w:rFonts w:ascii="Courier New" w:hAnsi="Courier New" w:cs="Courier New"/>
        </w:rPr>
        <w:t>    "access_token": "...",</w:t>
      </w:r>
      <w:r>
        <w:br/>
      </w:r>
      <w:r>
        <w:rPr>
          <w:rFonts w:ascii="Courier New" w:hAnsi="Courier New" w:cs="Courier New"/>
        </w:rPr>
        <w:t>    "token_type": "DPoP",</w:t>
      </w:r>
      <w:r>
        <w:br/>
      </w:r>
      <w:r>
        <w:rPr>
          <w:rFonts w:ascii="Courier New" w:hAnsi="Courier New" w:cs="Courier New"/>
        </w:rPr>
        <w:t>    "expires_in": 3600,</w:t>
      </w:r>
      <w:r>
        <w:br/>
      </w:r>
      <w:r>
        <w:rPr>
          <w:rFonts w:ascii="Courier New" w:hAnsi="Courier New" w:cs="Courier New"/>
        </w:rPr>
        <w:t>    "refresh_token": "...",</w:t>
      </w:r>
      <w:r>
        <w:br/>
      </w:r>
      <w:r>
        <w:rPr>
          <w:rFonts w:ascii="Courier New" w:hAnsi="Courier New" w:cs="Courier New"/>
        </w:rPr>
        <w:t>    "scope": "..."</w:t>
      </w:r>
      <w:r>
        <w:br/>
      </w:r>
      <w:r>
        <w:rPr>
          <w:rFonts w:ascii="Courier New" w:hAnsi="Courier New" w:cs="Courier New"/>
        </w:rPr>
        <w:t>}</w:t>
      </w:r>
    </w:p>
    <w:p>
      <w:pPr>
        <w:divId w:val="231"/>
      </w:pPr>
      <w:r>
        <w:rPr>
          <w:rFonts w:ascii="Courier New" w:hAnsi="Courier New" w:cs="Courier New"/>
        </w:rPr>
        <w:t>Inhalt des Access token</w:t>
      </w:r>
    </w:p>
    <w:p>
      <w:pPr>
        <w:divId w:val="232"/>
      </w:pPr>
      <w:r>
        <w:rPr>
          <w:rFonts w:ascii="Courier New" w:hAnsi="Courier New" w:cs="Courier New"/>
        </w:rPr>
        <w:t>{</w:t>
      </w:r>
      <w:r>
        <w:br/>
      </w:r>
      <w:r>
        <w:rPr>
          <w:rFonts w:ascii="Courier New" w:hAnsi="Courier New" w:cs="Courier New"/>
        </w:rPr>
        <w:t>    "alg": "ES256",</w:t>
      </w:r>
      <w:r>
        <w:br/>
      </w:r>
      <w:r>
        <w:rPr>
          <w:rFonts w:ascii="Courier New" w:hAnsi="Courier New" w:cs="Courier New"/>
        </w:rPr>
        <w:t>    "kid": "...",</w:t>
      </w:r>
      <w:r>
        <w:br/>
      </w:r>
      <w:r>
        <w:rPr>
          <w:rFonts w:ascii="Courier New" w:hAnsi="Courier New" w:cs="Courier New"/>
        </w:rPr>
        <w:t>}</w:t>
      </w:r>
      <w:r>
        <w:br/>
      </w:r>
      <w:r>
        <w:rPr>
          <w:rFonts w:ascii="Courier New" w:hAnsi="Courier New" w:cs="Courier New"/>
        </w:rPr>
        <w:t>.</w:t>
      </w:r>
      <w:r>
        <w:br/>
      </w:r>
      <w:r>
        <w:rPr>
          <w:rFonts w:ascii="Courier New" w:hAnsi="Courier New" w:cs="Courier New"/>
        </w:rPr>
        <w:t>{</w:t>
      </w:r>
      <w:r>
        <w:br/>
      </w:r>
      <w:r>
        <w:rPr>
          <w:rFonts w:ascii="Courier New" w:hAnsi="Courier New" w:cs="Courier New"/>
        </w:rPr>
        <w:t xml:space="preserve">    "iss": " </w:t>
      </w:r>
      <w:hyperlink r:id="rId21" w:history="1">
        <w:r>
          <w:rPr>
            <w:rFonts w:ascii="Courier New" w:hAnsi="Courier New" w:cs="Courier New"/>
            <w:color w:val="0000FF" w:themeColor="hyperlink"/>
            <w:u w:val="single"/>
          </w:rPr>
          <w:t>https://as.example.com</w:t>
        </w:r>
      </w:hyperlink>
      <w:r>
        <w:rPr>
          <w:rFonts w:ascii="Courier New" w:hAnsi="Courier New" w:cs="Courier New"/>
        </w:rPr>
        <w:t>",</w:t>
      </w:r>
      <w:r>
        <w:br/>
      </w:r>
      <w:r>
        <w:rPr>
          <w:rFonts w:ascii="Courier New" w:hAnsi="Courier New" w:cs="Courier New"/>
        </w:rPr>
        <w:t>    "sub": "...Client ID...",</w:t>
      </w:r>
      <w:r>
        <w:br/>
      </w:r>
      <w:r>
        <w:rPr>
          <w:rFonts w:ascii="Courier New" w:hAnsi="Courier New" w:cs="Courier New"/>
        </w:rPr>
        <w:t>    "aud": "...Client ID...",</w:t>
      </w:r>
      <w:r>
        <w:br/>
      </w:r>
      <w:r>
        <w:rPr>
          <w:rFonts w:ascii="Courier New" w:hAnsi="Courier New" w:cs="Courier New"/>
        </w:rPr>
        <w:t>    "exp": 1562266216,</w:t>
      </w:r>
      <w:r>
        <w:br/>
      </w:r>
      <w:r>
        <w:rPr>
          <w:rFonts w:ascii="Courier New" w:hAnsi="Courier New" w:cs="Courier New"/>
        </w:rPr>
        <w:t>    "cnf": {</w:t>
      </w:r>
      <w:r>
        <w:br/>
      </w:r>
      <w:r>
        <w:rPr>
          <w:rFonts w:ascii="Courier New" w:hAnsi="Courier New" w:cs="Courier New"/>
        </w:rPr>
        <w:t>        "jkt": "...thumbprint of the DPoP key..."</w:t>
      </w:r>
      <w:r>
        <w:br/>
      </w:r>
      <w:r>
        <w:rPr>
          <w:rFonts w:ascii="Courier New" w:hAnsi="Courier New" w:cs="Courier New"/>
        </w:rPr>
        <w:t>    }</w:t>
      </w:r>
      <w:r>
        <w:br/>
      </w:r>
      <w:r>
        <w:rPr>
          <w:rFonts w:ascii="Courier New" w:hAnsi="Courier New" w:cs="Courier New"/>
        </w:rPr>
        <w:t>}</w:t>
      </w:r>
      <w:r>
        <w:br/>
      </w:r>
      <w:r>
        <w:rPr>
          <w:rFonts w:ascii="Courier New" w:hAnsi="Courier New" w:cs="Courier New"/>
        </w:rPr>
        <w:t>.</w:t>
      </w:r>
      <w:r>
        <w:br/>
      </w:r>
      <w:r>
        <w:rPr>
          <w:rFonts w:ascii="Courier New" w:hAnsi="Courier New" w:cs="Courier New"/>
        </w:rPr>
        <w:t>ES256 signature of the access token</w:t>
      </w:r>
    </w:p>
    <w:p>
      <w:pPr>
        <w:divId w:val="233"/>
      </w:pPr>
      <w:r>
        <w:t>Der Client erzeugt ein neues DPoP Proof JWT für den Zugriff auf Daten des Resource Servers (25) und sendet Request, mit Access token und DPoP Proof im Header, an den Resource Server.</w:t>
      </w:r>
    </w:p>
    <w:p>
      <w:pPr>
        <w:divId w:val="234"/>
      </w:pPr>
      <w:r>
        <w:t>Der http Proxy prüft das Access token und das DPoP Binding (27) und leitet, wenn diese gültig sind, den Request an den Resource Server weiter (28).</w:t>
      </w:r>
    </w:p>
    <w:p>
      <w:pPr>
        <w:divId w:val="235"/>
      </w:pPr>
      <w:r>
        <w:t>Der Resource Server empfängt den Request, führt seine Fachlogik aus (29) und sendet eine Antwort an den http Proxy (30), der diese an den Client weiterleitet (31).</w:t>
      </w:r>
    </w:p>
    <w:p>
      <w:pPr>
        <w:pStyle w:val="Heading3"/>
        <w:divId w:val="236"/>
      </w:pPr>
      <w:bookmarkStart w:id="133" w:name="_Toc256000059"/>
      <w:r>
        <w:t>PEP  http Proxy</w:t>
      </w:r>
      <w:bookmarkEnd w:id="133"/>
    </w:p>
    <w:p>
      <w:pPr>
        <w:divId w:val="237"/>
      </w:pPr>
      <w:r>
        <w:t>Die Komponente http Proxy ist die "letzte" vor das Resource Backend geschaltete Zero Trust-Komponente und prüft das Access token im Authorization Header des Requests. Ist das Access token gültig, wird der Zugriff gewährt. Zudem wird der Request um zusätzliche http-Header angereichert, um ein Tracing zu ermöglichen.</w:t>
      </w:r>
    </w:p>
    <w:p>
      <w:pPr>
        <w:spacing w:before="0" w:after="0"/>
      </w:pPr>
      <w:r>
        <w:rPr>
          <w:vanish/>
        </w:rPr>
        <w:t>Mainline_OPB1/ML-153303</w:t>
      </w:r>
      <w:r>
        <w:rPr>
          <w:b/>
        </w:rPr>
        <w:t>A_25666</w:t>
      </w:r>
      <w:r>
        <w:rPr>
          <w:b/>
        </w:rPr>
        <w:t xml:space="preserve"> - </w:t>
      </w:r>
      <w:r>
        <w:rPr>
          <w:b/>
        </w:rPr>
        <w:t>PEP http Proxy - TLS Terminierung</w:t>
      </w:r>
    </w:p>
    <w:p>
      <w:r>
        <w:t>Die Komponente http Proxy MUSS den TLS Kanal terminieren und alle http-Header validieren.</w:t>
      </w:r>
      <w:r>
        <w:rPr>
          <w:b/>
        </w:rPr>
        <w:t>[</w:t>
      </w:r>
      <w:r>
        <w:t>&lt;=</w:t>
      </w:r>
      <w:r>
        <w:rPr>
          <w:b/>
        </w:rPr>
        <w:t>]</w:t>
      </w:r>
    </w:p>
    <w:p>
      <w:pPr>
        <w:spacing w:before="0" w:after="0"/>
      </w:pPr>
      <w:r>
        <w:rPr>
          <w:vanish/>
        </w:rPr>
        <w:t>Mainline_OPB1/ML-153302</w:t>
      </w:r>
      <w:r>
        <w:rPr>
          <w:b/>
        </w:rPr>
        <w:t>A_25667</w:t>
      </w:r>
      <w:r>
        <w:rPr>
          <w:b/>
        </w:rPr>
        <w:t xml:space="preserve"> - </w:t>
      </w:r>
      <w:r>
        <w:rPr>
          <w:b/>
        </w:rPr>
        <w:t>PEP http Proxy - Verifikation Access-Token Binding</w:t>
      </w:r>
    </w:p>
    <w:p>
      <w:r>
        <w:t>Die Komponente http Proxy MUSS das Access-Token Binding über einen der folgenden Mechanismen verifizieren:</w:t>
      </w:r>
    </w:p>
    <w:p>
      <w:pPr>
        <w:pStyle w:val="ListParagraph"/>
        <w:numPr>
          <w:ilvl w:val="0"/>
          <w:numId w:val="37"/>
        </w:numPr>
      </w:pPr>
      <w:r>
        <w:t>TLS Client Zertifikat Binding gemäß [RFC8705]</w:t>
      </w:r>
    </w:p>
    <w:p>
      <w:pPr>
        <w:pStyle w:val="ListParagraph"/>
        <w:numPr>
          <w:ilvl w:val="0"/>
          <w:numId w:val="37"/>
        </w:numPr>
      </w:pPr>
      <w:r>
        <w:t>OAuth 2.0 Demonstrating Proof of Possession (DPoP) gemäß [RFC9449],</w:t>
      </w:r>
    </w:p>
    <w:p>
      <w:r>
        <w:t>d. h. der Claim "</w:t>
      </w:r>
      <w:r>
        <w:rPr>
          <w:rFonts w:ascii="Courier New" w:hAnsi="Courier New" w:cs="Courier New"/>
        </w:rPr>
        <w:t>jkt</w:t>
      </w:r>
      <w:r>
        <w:t>" oder "</w:t>
      </w:r>
      <w:r>
        <w:rPr>
          <w:rFonts w:ascii="Courier New" w:hAnsi="Courier New" w:cs="Courier New"/>
        </w:rPr>
        <w:t>x5t#S256</w:t>
      </w:r>
      <w:r>
        <w:t xml:space="preserve">" im Access-Token MUSS eindeutig der Angabe im TLS-Client-Zertifikat bzw. DPoP-Token </w:t>
      </w:r>
      <w:r>
        <w:t xml:space="preserve"> entsprechen.</w:t>
      </w:r>
      <w:r>
        <w:rPr>
          <w:b/>
        </w:rPr>
        <w:t>[</w:t>
      </w:r>
      <w:r>
        <w:t>&lt;=</w:t>
      </w:r>
      <w:r>
        <w:rPr>
          <w:b/>
        </w:rPr>
        <w:t>]</w:t>
      </w:r>
    </w:p>
    <w:p>
      <w:pPr>
        <w:spacing w:before="0" w:after="0"/>
      </w:pPr>
      <w:r>
        <w:rPr>
          <w:vanish/>
        </w:rPr>
        <w:t>Mainline_OPB1/ML-153288</w:t>
      </w:r>
      <w:r>
        <w:rPr>
          <w:b/>
        </w:rPr>
        <w:t>A_25668</w:t>
      </w:r>
      <w:r>
        <w:rPr>
          <w:b/>
        </w:rPr>
        <w:t xml:space="preserve"> - </w:t>
      </w:r>
      <w:r>
        <w:rPr>
          <w:b/>
        </w:rPr>
        <w:t>PEP http Proxy - Access-Token Validierung</w:t>
      </w:r>
    </w:p>
    <w:p>
      <w:r>
        <w:t>Die Komponente http Proxy MUSS das übergebene Access-Token validieren. Insbesondere MÜSSEN</w:t>
      </w:r>
    </w:p>
    <w:p>
      <w:pPr>
        <w:pStyle w:val="ListParagraph"/>
        <w:numPr>
          <w:ilvl w:val="0"/>
          <w:numId w:val="38"/>
        </w:numPr>
      </w:pPr>
      <w:r>
        <w:t>die Signatur des Authorization Servers gültig,</w:t>
      </w:r>
    </w:p>
    <w:p>
      <w:pPr>
        <w:pStyle w:val="ListParagraph"/>
        <w:numPr>
          <w:ilvl w:val="0"/>
          <w:numId w:val="38"/>
        </w:numPr>
      </w:pPr>
      <w:r>
        <w:t>die Angaben zur zeitlichen Gültigkeit (Felder: </w:t>
      </w:r>
      <w:r>
        <w:rPr>
          <w:rFonts w:ascii="Courier New" w:hAnsi="Courier New" w:cs="Courier New"/>
        </w:rPr>
        <w:t>iat</w:t>
      </w:r>
      <w:r>
        <w:t>, </w:t>
      </w:r>
      <w:r>
        <w:rPr>
          <w:rFonts w:ascii="Courier New" w:hAnsi="Courier New" w:cs="Courier New"/>
        </w:rPr>
        <w:t>exp</w:t>
      </w:r>
      <w:r>
        <w:t>) valide und </w:t>
      </w:r>
    </w:p>
    <w:p>
      <w:pPr>
        <w:pStyle w:val="ListParagraph"/>
        <w:numPr>
          <w:ilvl w:val="0"/>
          <w:numId w:val="38"/>
        </w:numPr>
      </w:pPr>
      <w:r>
        <w:t xml:space="preserve">die Angabe </w:t>
      </w:r>
      <w:r>
        <w:rPr>
          <w:rFonts w:ascii="Courier New" w:hAnsi="Courier New" w:cs="Courier New"/>
        </w:rPr>
        <w:t>aud</w:t>
      </w:r>
      <w:r>
        <w:t> für das Resource Backend korrekt eingetragen</w:t>
      </w:r>
    </w:p>
    <w:p>
      <w:r>
        <w:t>sein.</w:t>
      </w:r>
      <w:r>
        <w:rPr>
          <w:b/>
        </w:rPr>
        <w:t>[</w:t>
      </w:r>
      <w:r>
        <w:t>&lt;=</w:t>
      </w:r>
      <w:r>
        <w:rPr>
          <w:b/>
        </w:rPr>
        <w:t>]</w:t>
      </w:r>
    </w:p>
    <w:p>
      <w:pPr>
        <w:divId w:val="238"/>
      </w:pPr>
    </w:p>
    <w:p>
      <w:pPr>
        <w:spacing w:before="0" w:after="0"/>
      </w:pPr>
      <w:r>
        <w:rPr>
          <w:vanish/>
        </w:rPr>
        <w:t>Mainline_OPB1/ML-153287</w:t>
      </w:r>
      <w:r>
        <w:rPr>
          <w:b/>
        </w:rPr>
        <w:t>A_25669</w:t>
      </w:r>
      <w:r>
        <w:rPr>
          <w:b/>
        </w:rPr>
        <w:t xml:space="preserve"> - </w:t>
      </w:r>
      <w:r>
        <w:rPr>
          <w:b/>
        </w:rPr>
        <w:t>PEP http Proxy - Zusätzliche http-Header</w:t>
      </w:r>
    </w:p>
    <w:p>
      <w:r>
        <w:t>Die Komponente http Proxy MUSS die http Requests an das Resource Backend weiterleiten und dabei die folgenden zusätzlichen http-Header einsetzen.</w:t>
      </w:r>
    </w:p>
    <w:p>
      <w:pPr>
        <w:pStyle w:val="Caption"/>
        <w:keepNext/>
        <w:jc w:val="left"/>
      </w:pPr>
      <w:bookmarkStart w:id="134" w:name="_Toc256000094"/>
      <w:r>
        <w:t xml:space="preserve">Tabelle </w:t>
      </w:r>
      <w:r>
        <w:fldChar w:fldCharType="begin"/>
      </w:r>
      <w:r>
        <w:instrText xml:space="preserve"> SEQ Tabelle \* ARABIC </w:instrText>
      </w:r>
      <w:r>
        <w:fldChar w:fldCharType="separate"/>
      </w:r>
      <w:r>
        <w:t>6</w:t>
      </w:r>
      <w:r>
        <w:fldChar w:fldCharType="end"/>
      </w:r>
      <w:r>
        <w:t>: PEP http Proxy - Zusätzliche http-Header</w:t>
      </w:r>
      <w:bookmarkEnd w:id="134"/>
    </w:p>
    <w:tbl>
      <w:tblPr>
        <w:tblStyle w:val="PolarionTableNormal"/>
        <w:tblW w:w="5000" w:type="pct"/>
        <w:jc w:val="left"/>
        <w:tblBorders>
          <w:top w:val="single" w:sz="8" w:space="0" w:color="CCCCCC"/>
          <w:left w:val="single" w:sz="8" w:space="0" w:color="CCCCCC"/>
          <w:bottom w:val="single" w:sz="8" w:space="0" w:color="CCCCCC"/>
          <w:right w:val="single" w:sz="8" w:space="0" w:color="CCCCCC"/>
        </w:tblBorders>
      </w:tblPr>
      <w:tblGrid>
        <w:gridCol w:w="2540"/>
        <w:gridCol w:w="4427"/>
        <w:gridCol w:w="2253"/>
      </w:tblGrid>
      <w:tr>
        <w:tblPrEx>
          <w:tblW w:w="5000" w:type="pct"/>
          <w:jc w:val="left"/>
          <w:tblBorders>
            <w:top w:val="single" w:sz="8" w:space="0" w:color="CCCCCC"/>
            <w:left w:val="single" w:sz="8" w:space="0" w:color="CCCCCC"/>
            <w:bottom w:val="single" w:sz="8" w:space="0" w:color="CCCCCC"/>
            <w:right w:val="single" w:sz="8" w:space="0" w:color="CCCCCC"/>
          </w:tblBorders>
        </w:tblPrEx>
        <w:trPr>
          <w:trHeight w:val="180"/>
          <w:jc w:val="left"/>
        </w:trPr>
        <w:tc>
          <w:tcPr>
            <w:tcW w:w="2790"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b/>
              </w:rPr>
              <w:t>http-Header</w:t>
            </w:r>
          </w:p>
        </w:tc>
        <w:tc>
          <w:tcPr>
            <w:tcW w:w="5565"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b/>
              </w:rPr>
              <w:t>Format</w:t>
            </w:r>
          </w:p>
        </w:tc>
        <w:tc>
          <w:tcPr>
            <w:tcW w:w="2445"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b/>
              </w:rPr>
              <w:t>Schema</w:t>
            </w:r>
          </w:p>
        </w:tc>
      </w:tr>
      <w:tr>
        <w:tblPrEx>
          <w:tblW w:w="5000" w:type="pct"/>
          <w:jc w:val="left"/>
        </w:tblPrEx>
        <w:trPr>
          <w:trHeight w:val="180"/>
          <w:jc w:val="left"/>
        </w:trPr>
        <w:tc>
          <w:tcPr>
            <w:tcW w:w="279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X-ZTA-Subject</w:t>
            </w:r>
          </w:p>
        </w:tc>
        <w:tc>
          <w:tcPr>
            <w:tcW w:w="55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Base64-URL kodierte JSON Struktur </w:t>
            </w:r>
          </w:p>
        </w:tc>
        <w:tc>
          <w:tcPr>
            <w:tcW w:w="244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subject.yaml</w:t>
            </w:r>
          </w:p>
        </w:tc>
      </w:tr>
      <w:tr>
        <w:tblPrEx>
          <w:tblW w:w="5000" w:type="pct"/>
          <w:jc w:val="left"/>
        </w:tblPrEx>
        <w:trPr>
          <w:trHeight w:val="180"/>
          <w:jc w:val="left"/>
        </w:trPr>
        <w:tc>
          <w:tcPr>
            <w:tcW w:w="279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X-ZTA-Scopes</w:t>
            </w:r>
          </w:p>
        </w:tc>
        <w:tc>
          <w:tcPr>
            <w:tcW w:w="55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URL-Encoded String</w:t>
            </w:r>
          </w:p>
        </w:tc>
        <w:tc>
          <w:tcPr>
            <w:tcW w:w="244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w:t>
            </w:r>
          </w:p>
        </w:tc>
      </w:tr>
      <w:tr>
        <w:tblPrEx>
          <w:tblW w:w="5000" w:type="pct"/>
          <w:jc w:val="left"/>
        </w:tblPrEx>
        <w:trPr>
          <w:trHeight w:val="180"/>
          <w:jc w:val="left"/>
        </w:trPr>
        <w:tc>
          <w:tcPr>
            <w:tcW w:w="279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X-ZTA-Authorization-Details</w:t>
            </w:r>
          </w:p>
        </w:tc>
        <w:tc>
          <w:tcPr>
            <w:tcW w:w="55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Base64-URL kodierte JSON Struktur</w:t>
            </w:r>
          </w:p>
        </w:tc>
        <w:tc>
          <w:tcPr>
            <w:tcW w:w="244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offen</w:t>
            </w:r>
          </w:p>
        </w:tc>
      </w:tr>
      <w:tr>
        <w:tblPrEx>
          <w:tblW w:w="5000" w:type="pct"/>
          <w:jc w:val="left"/>
        </w:tblPrEx>
        <w:trPr>
          <w:trHeight w:val="180"/>
          <w:jc w:val="left"/>
        </w:trPr>
        <w:tc>
          <w:tcPr>
            <w:tcW w:w="279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X-ZTA-Client</w:t>
            </w:r>
          </w:p>
        </w:tc>
        <w:tc>
          <w:tcPr>
            <w:tcW w:w="55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Base64-URL kodierte JSON Struktur</w:t>
            </w:r>
          </w:p>
        </w:tc>
        <w:tc>
          <w:tcPr>
            <w:tcW w:w="244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client-instance.yaml</w:t>
            </w:r>
          </w:p>
        </w:tc>
      </w:tr>
      <w:tr>
        <w:tblPrEx>
          <w:tblW w:w="5000" w:type="pct"/>
          <w:jc w:val="left"/>
        </w:tblPrEx>
        <w:trPr>
          <w:trHeight w:val="180"/>
          <w:jc w:val="left"/>
        </w:trPr>
        <w:tc>
          <w:tcPr>
            <w:tcW w:w="279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X-ZTA-PDP-Decision</w:t>
            </w:r>
          </w:p>
        </w:tc>
        <w:tc>
          <w:tcPr>
            <w:tcW w:w="55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Base64-URL kodierte JSON Struktur</w:t>
            </w:r>
          </w:p>
        </w:tc>
        <w:tc>
          <w:tcPr>
            <w:tcW w:w="244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pdp-decision.yaml</w:t>
            </w:r>
          </w:p>
        </w:tc>
      </w:tr>
    </w:tbl>
    <w:p>
      <w:r>
        <w:br/>
      </w:r>
      <w:r>
        <w:t>Gleichnamige http-Header aus dem ursprünglichen http-Request MÜSSEN entfernt bzw. überschrieben werden.</w:t>
      </w:r>
      <w:r>
        <w:rPr>
          <w:b/>
        </w:rPr>
        <w:t>[</w:t>
      </w:r>
      <w:r>
        <w:t>&lt;=</w:t>
      </w:r>
      <w:r>
        <w:rPr>
          <w:b/>
        </w:rPr>
        <w:t>]</w:t>
      </w:r>
    </w:p>
    <w:p>
      <w:pPr>
        <w:pStyle w:val="Heading3"/>
        <w:divId w:val="239"/>
      </w:pPr>
      <w:bookmarkStart w:id="135" w:name="_Toc256000060"/>
      <w:r>
        <w:t>Sicherheits- und Datenschutz-Anforderungen an dem PEP</w:t>
      </w:r>
      <w:bookmarkEnd w:id="135"/>
    </w:p>
    <w:p>
      <w:pPr>
        <w:spacing w:before="0" w:after="0"/>
      </w:pPr>
      <w:r>
        <w:rPr>
          <w:vanish/>
        </w:rPr>
        <w:t>Mainline_OPB1/ML-152462</w:t>
      </w:r>
      <w:r>
        <w:rPr>
          <w:b/>
        </w:rPr>
        <w:t>A_25445</w:t>
      </w:r>
      <w:r>
        <w:rPr>
          <w:b/>
        </w:rPr>
        <w:t xml:space="preserve"> - </w:t>
      </w:r>
      <w:r>
        <w:rPr>
          <w:b/>
        </w:rPr>
        <w:t>PEP - Zugriffsentscheidung nur über PDP</w:t>
      </w:r>
    </w:p>
    <w:p>
      <w:r>
        <w:t>Der PEP MUSS sicherstellen, dass Zugriffe auf den Fachdienst nur durch eine positive Zugriffsentscheidung vom PDP möglich sind.  </w:t>
      </w:r>
      <w:r>
        <w:rPr>
          <w:b/>
        </w:rPr>
        <w:t>[</w:t>
      </w:r>
      <w:r>
        <w:t>&lt;=</w:t>
      </w:r>
      <w:r>
        <w:rPr>
          <w:b/>
        </w:rPr>
        <w:t>]</w:t>
      </w:r>
    </w:p>
    <w:p>
      <w:pPr>
        <w:spacing w:before="0" w:after="0"/>
      </w:pPr>
      <w:r>
        <w:rPr>
          <w:vanish/>
        </w:rPr>
        <w:t>Mainline_OPB1/ML-154256</w:t>
      </w:r>
      <w:r>
        <w:rPr>
          <w:b/>
        </w:rPr>
        <w:t>A_25840</w:t>
      </w:r>
      <w:r>
        <w:rPr>
          <w:b/>
        </w:rPr>
        <w:t xml:space="preserve"> - </w:t>
      </w:r>
      <w:r>
        <w:rPr>
          <w:b/>
        </w:rPr>
        <w:t>PEP -Sichere interne Kommunikation</w:t>
      </w:r>
    </w:p>
    <w:p>
      <w:r>
        <w:t>PEP MUSS die ausgehende interne Kommunikation zum PDP, zum Betreiber spezifischer Dienste und zur Anwendung spezifischer Dienste über die im Cluster vorhandenen Mechanismen absichern und deren Authentizität verifizieren können.</w:t>
      </w:r>
      <w:r>
        <w:rPr>
          <w:b/>
        </w:rPr>
        <w:t>[</w:t>
      </w:r>
      <w:r>
        <w:t>&lt;=</w:t>
      </w:r>
      <w:r>
        <w:rPr>
          <w:b/>
        </w:rPr>
        <w:t>]</w:t>
      </w:r>
    </w:p>
    <w:p>
      <w:pPr>
        <w:spacing w:before="0" w:after="0"/>
      </w:pPr>
      <w:r>
        <w:rPr>
          <w:vanish/>
        </w:rPr>
        <w:t>Mainline_OPB1/ML-152465</w:t>
      </w:r>
      <w:r>
        <w:rPr>
          <w:b/>
        </w:rPr>
        <w:t>A_25448</w:t>
      </w:r>
      <w:r>
        <w:rPr>
          <w:b/>
        </w:rPr>
        <w:t xml:space="preserve"> - </w:t>
      </w:r>
      <w:r>
        <w:rPr>
          <w:b/>
        </w:rPr>
        <w:t>PEP - Nutzerzugriff nur von registrierten Geräten</w:t>
      </w:r>
    </w:p>
    <w:p>
      <w:r>
        <w:t xml:space="preserve">Der PEP MUSS sicherstellen, dass der Zugriff eines Nutzers auf den Fachdienst nur von einem vom Nutzer registrierten Gerät möglich ist. </w:t>
      </w:r>
      <w:r>
        <w:rPr>
          <w:b/>
        </w:rPr>
        <w:t>[</w:t>
      </w:r>
      <w:r>
        <w:t>&lt;=</w:t>
      </w:r>
      <w:r>
        <w:rPr>
          <w:b/>
        </w:rPr>
        <w:t>]</w:t>
      </w:r>
    </w:p>
    <w:p>
      <w:pPr>
        <w:spacing w:before="0" w:after="0"/>
      </w:pPr>
      <w:r>
        <w:rPr>
          <w:vanish/>
        </w:rPr>
        <w:t>Mainline_OPB1/ML-152466</w:t>
      </w:r>
      <w:r>
        <w:rPr>
          <w:b/>
        </w:rPr>
        <w:t>A_25449</w:t>
      </w:r>
      <w:r>
        <w:rPr>
          <w:b/>
        </w:rPr>
        <w:t xml:space="preserve"> - </w:t>
      </w:r>
      <w:r>
        <w:rPr>
          <w:b/>
        </w:rPr>
        <w:t>PEP- Nutzeridentität nur von einem zugelassenem IDP</w:t>
      </w:r>
    </w:p>
    <w:p>
      <w:r>
        <w:t xml:space="preserve">Der PEP MUSS sicherstellen, dass nur Nutzeridentitäten von einem zugelassenen IDP akzeptiert werden. </w:t>
      </w:r>
      <w:r>
        <w:rPr>
          <w:b/>
        </w:rPr>
        <w:t>[</w:t>
      </w:r>
      <w:r>
        <w:t>&lt;=</w:t>
      </w:r>
      <w:r>
        <w:rPr>
          <w:b/>
        </w:rPr>
        <w:t>]</w:t>
      </w:r>
    </w:p>
    <w:p>
      <w:pPr>
        <w:spacing w:before="0" w:after="0"/>
      </w:pPr>
      <w:r>
        <w:rPr>
          <w:vanish/>
        </w:rPr>
        <w:t>Mainline_OPB1/ML-152467</w:t>
      </w:r>
      <w:r>
        <w:rPr>
          <w:b/>
        </w:rPr>
        <w:t>A_25447</w:t>
      </w:r>
      <w:r>
        <w:rPr>
          <w:b/>
        </w:rPr>
        <w:t xml:space="preserve"> - </w:t>
      </w:r>
      <w:r>
        <w:rPr>
          <w:b/>
        </w:rPr>
        <w:t>PEP - Kommunikation nur mit authentischen PDP</w:t>
      </w:r>
    </w:p>
    <w:p>
      <w:r>
        <w:t>Der PEP MUSS sicherstellen, dass er mit einem authentischen und korrekt konfigurierten PDP kommuniziert.</w:t>
      </w:r>
      <w:r>
        <w:rPr>
          <w:b/>
        </w:rPr>
        <w:t>[</w:t>
      </w:r>
      <w:r>
        <w:t>&lt;=</w:t>
      </w:r>
      <w:r>
        <w:rPr>
          <w:b/>
        </w:rPr>
        <w:t>]</w:t>
      </w:r>
    </w:p>
    <w:p>
      <w:pPr>
        <w:spacing w:before="0" w:after="0"/>
      </w:pPr>
      <w:r>
        <w:rPr>
          <w:vanish/>
        </w:rPr>
        <w:t>Mainline_OPB1/ML-152869</w:t>
      </w:r>
      <w:r>
        <w:rPr>
          <w:b/>
        </w:rPr>
        <w:t>A_25486</w:t>
      </w:r>
      <w:r>
        <w:rPr>
          <w:b/>
        </w:rPr>
        <w:t xml:space="preserve"> - </w:t>
      </w:r>
      <w:r>
        <w:rPr>
          <w:b/>
        </w:rPr>
        <w:t>PEP - Abbruch durch Anomalie Signale</w:t>
      </w:r>
    </w:p>
    <w:p>
      <w:r>
        <w:rPr>
          <w:color w:val="000000"/>
        </w:rPr>
        <w:t>Falls das Security Monitoring eine Anomalie beim Zugriff eines Clients signalisiert, MUSS der PEP das Access-Token des Clients annullieren und damit die aktuelle fachliche Operation abbrechen.  </w:t>
      </w:r>
      <w:r>
        <w:rPr>
          <w:b/>
        </w:rPr>
        <w:t>[</w:t>
      </w:r>
      <w:r>
        <w:t>&lt;=</w:t>
      </w:r>
      <w:r>
        <w:rPr>
          <w:b/>
        </w:rPr>
        <w:t>]</w:t>
      </w:r>
    </w:p>
    <w:p>
      <w:pPr>
        <w:pStyle w:val="Heading3"/>
        <w:divId w:val="240"/>
      </w:pPr>
      <w:bookmarkStart w:id="136" w:name="_Toc256000061"/>
      <w:r>
        <w:t>Konfiguration</w:t>
      </w:r>
      <w:bookmarkEnd w:id="136"/>
    </w:p>
    <w:p>
      <w:pPr>
        <w:spacing w:before="0" w:after="0"/>
      </w:pPr>
      <w:r>
        <w:rPr>
          <w:vanish/>
        </w:rPr>
        <w:t>Mainline_OPB1/ML-155806</w:t>
      </w:r>
      <w:r>
        <w:rPr>
          <w:b/>
        </w:rPr>
        <w:t>A_26038</w:t>
      </w:r>
      <w:r>
        <w:rPr>
          <w:b/>
        </w:rPr>
        <w:t xml:space="preserve"> - </w:t>
      </w:r>
      <w:r>
        <w:rPr>
          <w:b/>
        </w:rPr>
        <w:t>PEP, Konfigurations-Parameter</w:t>
      </w:r>
    </w:p>
    <w:p>
      <w:r>
        <w:t>Der PEP MUSS die folgenden Konfigurations-Parameter unterstützen.</w:t>
      </w:r>
    </w:p>
    <w:p>
      <w:pPr>
        <w:pStyle w:val="Caption"/>
        <w:keepNext/>
        <w:jc w:val="left"/>
      </w:pPr>
      <w:bookmarkStart w:id="137" w:name="_Toc256000095"/>
      <w:r>
        <w:t xml:space="preserve">Tabelle </w:t>
      </w:r>
      <w:r>
        <w:fldChar w:fldCharType="begin"/>
      </w:r>
      <w:r>
        <w:instrText xml:space="preserve"> SEQ Tabelle \* ARABIC </w:instrText>
      </w:r>
      <w:r>
        <w:fldChar w:fldCharType="separate"/>
      </w:r>
      <w:r>
        <w:t>7</w:t>
      </w:r>
      <w:r>
        <w:fldChar w:fldCharType="end"/>
      </w:r>
      <w:r>
        <w:t xml:space="preserve"> PEP_Konfigurations-Parameter</w:t>
      </w:r>
      <w:bookmarkEnd w:id="137"/>
    </w:p>
    <w:tbl>
      <w:tblPr>
        <w:tblStyle w:val="PolarionTableNormal"/>
        <w:tblW w:w="5000" w:type="pct"/>
        <w:jc w:val="left"/>
        <w:tblBorders>
          <w:top w:val="single" w:sz="8" w:space="0" w:color="CCCCCC"/>
          <w:left w:val="single" w:sz="8" w:space="0" w:color="CCCCCC"/>
          <w:bottom w:val="single" w:sz="8" w:space="0" w:color="CCCCCC"/>
          <w:right w:val="single" w:sz="8" w:space="0" w:color="CCCCCC"/>
        </w:tblBorders>
      </w:tblPr>
      <w:tblGrid>
        <w:gridCol w:w="2359"/>
        <w:gridCol w:w="1588"/>
        <w:gridCol w:w="5273"/>
      </w:tblGrid>
      <w:tr>
        <w:tblPrEx>
          <w:tblW w:w="5000" w:type="pct"/>
          <w:jc w:val="left"/>
          <w:tblBorders>
            <w:top w:val="single" w:sz="8" w:space="0" w:color="CCCCCC"/>
            <w:left w:val="single" w:sz="8" w:space="0" w:color="CCCCCC"/>
            <w:bottom w:val="single" w:sz="8" w:space="0" w:color="CCCCCC"/>
            <w:right w:val="single" w:sz="8" w:space="0" w:color="CCCCCC"/>
          </w:tblBorders>
        </w:tblPrEx>
        <w:trPr>
          <w:trHeight w:val="180"/>
          <w:jc w:val="left"/>
        </w:trPr>
        <w:tc>
          <w:tcPr>
            <w:tcW w:w="2460"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b/>
              </w:rPr>
              <w:t>Konfigurations-Parameter</w:t>
            </w:r>
          </w:p>
        </w:tc>
        <w:tc>
          <w:tcPr>
            <w:tcW w:w="1800"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b/>
              </w:rPr>
              <w:t>Default Wert</w:t>
            </w:r>
          </w:p>
        </w:tc>
        <w:tc>
          <w:tcPr>
            <w:tcW w:w="6540"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b/>
              </w:rPr>
              <w:t>Beschreibung</w:t>
            </w:r>
          </w:p>
        </w:tc>
      </w:tr>
      <w:tr>
        <w:tblPrEx>
          <w:tblW w:w="5000" w:type="pct"/>
          <w:jc w:val="left"/>
        </w:tblPrEx>
        <w:trPr>
          <w:trHeight w:val="180"/>
          <w:jc w:val="left"/>
        </w:trPr>
        <w:tc>
          <w:tcPr>
            <w:tcW w:w="246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as-fqdn</w:t>
            </w:r>
          </w:p>
        </w:tc>
        <w:tc>
          <w:tcPr>
            <w:tcW w:w="180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n/a</w:t>
            </w:r>
          </w:p>
        </w:tc>
        <w:tc>
          <w:tcPr>
            <w:tcW w:w="654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FQDN des PEP Authorization Servers</w:t>
            </w:r>
          </w:p>
        </w:tc>
      </w:tr>
      <w:tr>
        <w:tblPrEx>
          <w:tblW w:w="5000" w:type="pct"/>
          <w:jc w:val="left"/>
        </w:tblPrEx>
        <w:trPr>
          <w:trHeight w:val="180"/>
          <w:jc w:val="left"/>
        </w:trPr>
        <w:tc>
          <w:tcPr>
            <w:tcW w:w="246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scopes_supported</w:t>
            </w:r>
            <w:r>
              <w:br/>
            </w:r>
          </w:p>
        </w:tc>
        <w:tc>
          <w:tcPr>
            <w:tcW w:w="180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w:t>
            </w:r>
          </w:p>
        </w:tc>
        <w:tc>
          <w:tcPr>
            <w:tcW w:w="654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vom PEP Authorization Server unterstützte scope Werte</w:t>
            </w:r>
            <w:r>
              <w:br/>
            </w:r>
            <w:r>
              <w:t>Minimal müssen die Zero Trust scope Werte unterstützt werden:</w:t>
            </w:r>
            <w:r>
              <w:br/>
            </w:r>
            <w:r>
              <w:t>- zero:register</w:t>
            </w:r>
            <w:r>
              <w:br/>
            </w:r>
            <w:r>
              <w:t>- zero:manage</w:t>
            </w:r>
            <w:r>
              <w:br/>
            </w:r>
            <w:r>
              <w:t>Zusätzliche scope Werte ergeben sich aus dem Bedarf des Dienstes, der durch den Zero Trust Cluster geschützt wird.</w:t>
            </w:r>
          </w:p>
        </w:tc>
      </w:tr>
    </w:tbl>
    <w:p>
      <w:r>
        <w:br/>
      </w:r>
      <w:r>
        <w:t>​​</w:t>
      </w:r>
      <w:r>
        <w:rPr>
          <w:b/>
        </w:rPr>
        <w:t>[</w:t>
      </w:r>
      <w:r>
        <w:t>&lt;=</w:t>
      </w:r>
      <w:r>
        <w:rPr>
          <w:b/>
        </w:rPr>
        <w:t>]</w:t>
      </w:r>
    </w:p>
    <w:p>
      <w:pPr>
        <w:divId w:val="241"/>
      </w:pPr>
      <w:r>
        <w:rPr>
          <w:i/>
        </w:rPr>
        <w:t>Hinweis: Weitere Konfigurationsparameter werden zusammen mit dem Zero Trust Hersteller festgelegt und hier ergänzt.</w:t>
      </w:r>
    </w:p>
    <w:p>
      <w:pPr>
        <w:pStyle w:val="Heading2"/>
        <w:divId w:val="242"/>
      </w:pPr>
      <w:bookmarkStart w:id="138" w:name="_Toc256000062"/>
      <w:r>
        <w:t>Anforderungen an den Policy Decision Point</w:t>
      </w:r>
      <w:bookmarkEnd w:id="138"/>
    </w:p>
    <w:p>
      <w:pPr>
        <w:divId w:val="243"/>
      </w:pPr>
      <w:r>
        <w:t>Der PDP implementiert einen [Open Policy Agent] (OPA). Die Policies und die zugehörigen Daten erhält der PDP per Download vom PIP und PAP Service. Aus den Input-Daten vom PEP, den Daten vom PIP und den Policies vom PAP ermittelt der PDP eine Entscheidung und gibt diese zurück an den PEP.</w:t>
      </w:r>
    </w:p>
    <w:p>
      <w:pPr>
        <w:divId w:val="244"/>
      </w:pPr>
      <w:r>
        <w:t>Neben der OPA Instanz, die die Entscheidung für den PEP trifft (aktive Instanz), ob eine Kommunikation zulässig ist, implementiert der PDP noch eine zweite OPA Instanz, die mit einem zweiten OPA Bundle vom PIP und PAP Service arbeitet, aber die getroffenen Entscheidungen nicht an den PEP zurück gibt. Diese Instanz wird Simulations-Instanz genannt.</w:t>
      </w:r>
    </w:p>
    <w:p>
      <w:pPr>
        <w:spacing w:before="0" w:after="0"/>
      </w:pPr>
      <w:r>
        <w:rPr>
          <w:vanish/>
        </w:rPr>
        <w:t>Mainline_OPB1/ML-153845</w:t>
      </w:r>
      <w:r>
        <w:rPr>
          <w:b/>
        </w:rPr>
        <w:t>A_25739</w:t>
      </w:r>
      <w:r>
        <w:rPr>
          <w:b/>
        </w:rPr>
        <w:t xml:space="preserve"> - </w:t>
      </w:r>
      <w:r>
        <w:rPr>
          <w:b/>
        </w:rPr>
        <w:t>PDP, Open Policy Agent Instanzen</w:t>
      </w:r>
    </w:p>
    <w:p>
      <w:r>
        <w:t>Der PDP MUSS zwei Open Policy Agent (OPA) Instanzen bereitstellen, wobei eine Instanz die Entscheidung für den PEP trifft (aktive Instanz), und eine Instanz eine Entscheidung trifft, diese aber nicht an den PEP sendet (Simulations-Instanz).</w:t>
      </w:r>
      <w:r>
        <w:br/>
      </w:r>
      <w:r>
        <w:t>Die OPA Instanzen MÜSSEN gemäß Tabelle OPA_Konfiguration konfiguriert werden. </w:t>
      </w:r>
    </w:p>
    <w:p>
      <w:pPr>
        <w:pStyle w:val="Caption"/>
        <w:keepNext/>
        <w:jc w:val="left"/>
      </w:pPr>
      <w:bookmarkStart w:id="139" w:name="_Toc256000096"/>
      <w:r>
        <w:t xml:space="preserve">Tabelle </w:t>
      </w:r>
      <w:r>
        <w:fldChar w:fldCharType="begin"/>
      </w:r>
      <w:r>
        <w:instrText xml:space="preserve"> SEQ Tabelle \* ARABIC </w:instrText>
      </w:r>
      <w:r>
        <w:fldChar w:fldCharType="separate"/>
      </w:r>
      <w:r>
        <w:t>8</w:t>
      </w:r>
      <w:r>
        <w:fldChar w:fldCharType="end"/>
      </w:r>
      <w:r>
        <w:t>: OPA_Konfiguration</w:t>
      </w:r>
      <w:bookmarkEnd w:id="139"/>
      <w:r>
        <w:t xml:space="preserve">  </w:t>
      </w:r>
    </w:p>
    <w:tbl>
      <w:tblPr>
        <w:tblStyle w:val="PolarionTableNormal"/>
        <w:tblW w:w="5000" w:type="pct"/>
        <w:jc w:val="left"/>
        <w:tblBorders>
          <w:top w:val="single" w:sz="8" w:space="0" w:color="CCCCCC"/>
          <w:left w:val="single" w:sz="8" w:space="0" w:color="CCCCCC"/>
          <w:bottom w:val="single" w:sz="8" w:space="0" w:color="CCCCCC"/>
          <w:right w:val="single" w:sz="8" w:space="0" w:color="CCCCCC"/>
        </w:tblBorders>
      </w:tblPr>
      <w:tblGrid>
        <w:gridCol w:w="3316"/>
        <w:gridCol w:w="3447"/>
        <w:gridCol w:w="2457"/>
      </w:tblGrid>
      <w:tr>
        <w:tblPrEx>
          <w:tblW w:w="5000" w:type="pct"/>
          <w:jc w:val="left"/>
          <w:tblBorders>
            <w:top w:val="single" w:sz="8" w:space="0" w:color="CCCCCC"/>
            <w:left w:val="single" w:sz="8" w:space="0" w:color="CCCCCC"/>
            <w:bottom w:val="single" w:sz="8" w:space="0" w:color="CCCCCC"/>
            <w:right w:val="single" w:sz="8" w:space="0" w:color="CCCCCC"/>
          </w:tblBorders>
        </w:tblPrEx>
        <w:trPr>
          <w:trHeight w:val="180"/>
          <w:jc w:val="left"/>
        </w:trPr>
        <w:tc>
          <w:tcPr>
            <w:tcW w:w="3600"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b/>
              </w:rPr>
              <w:t>Konfiguration</w:t>
            </w:r>
          </w:p>
        </w:tc>
        <w:tc>
          <w:tcPr>
            <w:tcW w:w="4365"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b/>
              </w:rPr>
              <w:t>Aktive OPA Instanz</w:t>
            </w:r>
          </w:p>
        </w:tc>
        <w:tc>
          <w:tcPr>
            <w:tcW w:w="2850"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b/>
              </w:rPr>
              <w:t>Simulations-OPA Instanz</w:t>
            </w:r>
          </w:p>
        </w:tc>
      </w:tr>
      <w:tr>
        <w:tblPrEx>
          <w:tblW w:w="5000" w:type="pct"/>
          <w:jc w:val="left"/>
        </w:tblPrEx>
        <w:trPr>
          <w:trHeight w:val="180"/>
          <w:jc w:val="left"/>
        </w:trPr>
        <w:tc>
          <w:tcPr>
            <w:tcW w:w="360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rFonts w:ascii="Courier New" w:hAnsi="Courier New" w:cs="Courier New"/>
                <w:b/>
                <w:color w:val="000099"/>
                <w:sz w:val="20"/>
                <w:szCs w:val="20"/>
              </w:rPr>
              <w:t>services:</w:t>
            </w:r>
            <w:r>
              <w:br/>
            </w:r>
            <w:r>
              <w:rPr>
                <w:rFonts w:ascii="Courier New" w:hAnsi="Courier New" w:cs="Courier New"/>
                <w:b/>
                <w:color w:val="000099"/>
                <w:sz w:val="20"/>
                <w:szCs w:val="20"/>
              </w:rPr>
              <w:t>  - name:</w:t>
            </w:r>
            <w:r>
              <w:rPr>
                <w:rFonts w:ascii="Courier New" w:hAnsi="Courier New" w:cs="Courier New"/>
                <w:sz w:val="20"/>
                <w:szCs w:val="20"/>
              </w:rPr>
              <w:t xml:space="preserve"> &lt;service name&gt;</w:t>
            </w:r>
            <w:r>
              <w:br/>
            </w:r>
            <w:r>
              <w:rPr>
                <w:rFonts w:ascii="Courier New" w:hAnsi="Courier New" w:cs="Courier New"/>
                <w:sz w:val="20"/>
                <w:szCs w:val="20"/>
              </w:rPr>
              <w:t xml:space="preserve">    </w:t>
            </w:r>
            <w:r>
              <w:rPr>
                <w:rFonts w:ascii="Courier New" w:hAnsi="Courier New" w:cs="Courier New"/>
                <w:b/>
                <w:color w:val="000099"/>
                <w:sz w:val="20"/>
                <w:szCs w:val="20"/>
              </w:rPr>
              <w:t>url:</w:t>
            </w:r>
            <w:r>
              <w:rPr>
                <w:rFonts w:ascii="Courier New" w:hAnsi="Courier New" w:cs="Courier New"/>
                <w:sz w:val="20"/>
                <w:szCs w:val="20"/>
              </w:rPr>
              <w:t xml:space="preserve"> &lt;PIP und PAP service&gt;</w:t>
            </w:r>
          </w:p>
        </w:tc>
        <w:tc>
          <w:tcPr>
            <w:tcW w:w="43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rFonts w:ascii="Courier New" w:hAnsi="Courier New" w:cs="Courier New"/>
                <w:sz w:val="20"/>
                <w:szCs w:val="20"/>
              </w:rPr>
              <w:t>&lt;service name&gt;</w:t>
            </w:r>
            <w:r>
              <w:br/>
            </w:r>
            <w:r>
              <w:t>Innerhalb der PDP Konfiguration verwendeter Service Name.</w:t>
            </w:r>
            <w:r>
              <w:br/>
            </w:r>
            <w:r>
              <w:br/>
            </w:r>
            <w:r>
              <w:rPr>
                <w:rFonts w:ascii="Courier New" w:hAnsi="Courier New" w:cs="Courier New"/>
                <w:sz w:val="20"/>
                <w:szCs w:val="20"/>
              </w:rPr>
              <w:t>&lt;PIP und PAP service&gt;</w:t>
            </w:r>
            <w:r>
              <w:br/>
            </w:r>
            <w:r>
              <w:t>Download-Endpunkt des PIP und PAP Servicees entsprechend der verwendeten Umgebung</w:t>
            </w:r>
            <w:r>
              <w:br/>
            </w:r>
            <w:r>
              <w:t>Default: </w:t>
            </w:r>
            <w:r>
              <w:br/>
            </w:r>
            <w:r>
              <w:t xml:space="preserve">Produktions-Instanz: </w:t>
            </w:r>
            <w:hyperlink r:id="rId22" w:history="1">
              <w:r>
                <w:rPr>
                  <w:color w:val="0000FF" w:themeColor="hyperlink"/>
                  <w:u w:val="single"/>
                </w:rPr>
                <w:t>https://pip-pap.ti-dienste.de</w:t>
              </w:r>
            </w:hyperlink>
            <w:r>
              <w:t> </w:t>
            </w:r>
            <w:r>
              <w:br/>
            </w:r>
            <w:r>
              <w:t xml:space="preserve">Referenz-Instanz: </w:t>
            </w:r>
            <w:hyperlink r:id="rId23" w:history="1">
              <w:r>
                <w:rPr>
                  <w:color w:val="0000FF" w:themeColor="hyperlink"/>
                  <w:u w:val="single"/>
                </w:rPr>
                <w:t>https://pip-pap-ref.ti-dienste.de</w:t>
              </w:r>
            </w:hyperlink>
            <w:r>
              <w:t> </w:t>
            </w:r>
            <w:r>
              <w:br/>
            </w:r>
            <w:r>
              <w:t xml:space="preserve">Test-Instanz: </w:t>
            </w:r>
            <w:hyperlink r:id="rId24" w:history="1">
              <w:r>
                <w:rPr>
                  <w:color w:val="0000FF" w:themeColor="hyperlink"/>
                  <w:u w:val="single"/>
                </w:rPr>
                <w:t>https://pip-pap-test.ti-dienste.de</w:t>
              </w:r>
            </w:hyperlink>
          </w:p>
        </w:tc>
        <w:tc>
          <w:tcPr>
            <w:tcW w:w="285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wie aktive PDP Instanz</w:t>
            </w:r>
          </w:p>
        </w:tc>
      </w:tr>
      <w:tr>
        <w:tblPrEx>
          <w:tblW w:w="5000" w:type="pct"/>
          <w:jc w:val="left"/>
        </w:tblPrEx>
        <w:trPr>
          <w:trHeight w:val="180"/>
          <w:jc w:val="left"/>
        </w:trPr>
        <w:tc>
          <w:tcPr>
            <w:tcW w:w="360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rFonts w:ascii="Courier New" w:hAnsi="Courier New" w:cs="Courier New"/>
                <w:b/>
                <w:color w:val="000099"/>
                <w:sz w:val="20"/>
                <w:szCs w:val="20"/>
              </w:rPr>
              <w:t>bundles:</w:t>
            </w:r>
            <w:r>
              <w:br/>
            </w:r>
            <w:r>
              <w:rPr>
                <w:rFonts w:ascii="Courier New" w:hAnsi="Courier New" w:cs="Courier New"/>
                <w:b/>
                <w:color w:val="000099"/>
                <w:sz w:val="20"/>
                <w:szCs w:val="20"/>
              </w:rPr>
              <w:t>  authz:</w:t>
            </w:r>
            <w:r>
              <w:br/>
            </w:r>
            <w:r>
              <w:rPr>
                <w:rFonts w:ascii="Courier New" w:hAnsi="Courier New" w:cs="Courier New"/>
                <w:b/>
                <w:color w:val="000099"/>
                <w:sz w:val="20"/>
                <w:szCs w:val="20"/>
              </w:rPr>
              <w:t>    service:</w:t>
            </w:r>
            <w:r>
              <w:rPr>
                <w:rFonts w:ascii="Courier New" w:hAnsi="Courier New" w:cs="Courier New"/>
                <w:sz w:val="20"/>
                <w:szCs w:val="20"/>
              </w:rPr>
              <w:t xml:space="preserve"> &lt;service name&gt;</w:t>
            </w:r>
            <w:r>
              <w:br/>
            </w:r>
            <w:r>
              <w:rPr>
                <w:rFonts w:ascii="Courier New" w:hAnsi="Courier New" w:cs="Courier New"/>
                <w:sz w:val="20"/>
                <w:szCs w:val="20"/>
              </w:rPr>
              <w:t xml:space="preserve">    </w:t>
            </w:r>
            <w:r>
              <w:rPr>
                <w:rFonts w:ascii="Courier New" w:hAnsi="Courier New" w:cs="Courier New"/>
                <w:b/>
                <w:color w:val="000099"/>
                <w:sz w:val="20"/>
                <w:szCs w:val="20"/>
              </w:rPr>
              <w:t>resource:</w:t>
            </w:r>
            <w:r>
              <w:rPr>
                <w:rFonts w:ascii="Courier New" w:hAnsi="Courier New" w:cs="Courier New"/>
                <w:sz w:val="20"/>
                <w:szCs w:val="20"/>
              </w:rPr>
              <w:t xml:space="preserve"> &lt;path&gt;</w:t>
            </w:r>
            <w:r>
              <w:br/>
            </w:r>
            <w:r>
              <w:rPr>
                <w:rFonts w:ascii="Courier New" w:hAnsi="Courier New" w:cs="Courier New"/>
                <w:sz w:val="20"/>
                <w:szCs w:val="20"/>
              </w:rPr>
              <w:t xml:space="preserve">    </w:t>
            </w:r>
            <w:r>
              <w:rPr>
                <w:rFonts w:ascii="Courier New" w:hAnsi="Courier New" w:cs="Courier New"/>
                <w:b/>
                <w:color w:val="000099"/>
                <w:sz w:val="20"/>
                <w:szCs w:val="20"/>
              </w:rPr>
              <w:t>persist:</w:t>
            </w:r>
            <w:r>
              <w:rPr>
                <w:rFonts w:ascii="Courier New" w:hAnsi="Courier New" w:cs="Courier New"/>
                <w:sz w:val="20"/>
                <w:szCs w:val="20"/>
              </w:rPr>
              <w:t xml:space="preserve"> true</w:t>
            </w:r>
            <w:r>
              <w:br/>
            </w:r>
          </w:p>
        </w:tc>
        <w:tc>
          <w:tcPr>
            <w:tcW w:w="43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rFonts w:ascii="Courier New" w:hAnsi="Courier New" w:cs="Courier New"/>
                <w:sz w:val="20"/>
                <w:szCs w:val="20"/>
              </w:rPr>
              <w:t>&lt;path&gt;</w:t>
            </w:r>
            <w:r>
              <w:br/>
            </w:r>
            <w:r>
              <w:t xml:space="preserve">Der Pfad wird wie in [pip-pap-service.yaml] beschrieben angegeben. Durch das label </w:t>
            </w:r>
            <w:r>
              <w:rPr>
                <w:rFonts w:ascii="Courier New" w:hAnsi="Courier New" w:cs="Courier New"/>
              </w:rPr>
              <w:t>latest</w:t>
            </w:r>
            <w:r>
              <w:t xml:space="preserve"> wird die neueste </w:t>
            </w:r>
            <w:r>
              <w:rPr>
                <w:rFonts w:ascii="Courier New" w:hAnsi="Courier New" w:cs="Courier New"/>
              </w:rPr>
              <w:t>bundle.tar.gz</w:t>
            </w:r>
            <w:r>
              <w:t xml:space="preserve"> Datei für die aktive PDP Instanz heruntergeladen.</w:t>
            </w:r>
            <w:r>
              <w:br/>
            </w:r>
            <w:r>
              <w:t>Default:</w:t>
            </w:r>
            <w:r>
              <w:br/>
            </w:r>
            <w:r>
              <w:rPr>
                <w:rFonts w:ascii="Courier New" w:hAnsi="Courier New" w:cs="Courier New"/>
              </w:rPr>
              <w:t>/policies/&lt;TI service&gt;/latest</w:t>
            </w:r>
          </w:p>
        </w:tc>
        <w:tc>
          <w:tcPr>
            <w:tcW w:w="285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rFonts w:ascii="Courier New" w:hAnsi="Courier New" w:cs="Courier New"/>
                <w:sz w:val="20"/>
                <w:szCs w:val="20"/>
              </w:rPr>
              <w:t>&lt;path&gt;</w:t>
            </w:r>
            <w:r>
              <w:br/>
            </w:r>
            <w:r>
              <w:t xml:space="preserve">Durch das label </w:t>
            </w:r>
            <w:r>
              <w:rPr>
                <w:rFonts w:ascii="Courier New" w:hAnsi="Courier New" w:cs="Courier New"/>
              </w:rPr>
              <w:t>latest-sim </w:t>
            </w:r>
            <w:r>
              <w:t xml:space="preserve">wird die neueste </w:t>
            </w:r>
            <w:r>
              <w:rPr>
                <w:rFonts w:ascii="Courier New" w:hAnsi="Courier New" w:cs="Courier New"/>
              </w:rPr>
              <w:t>bundle.tar.gz</w:t>
            </w:r>
            <w:r>
              <w:t xml:space="preserve"> Datei für die Simulations-Instanz des PDP heruntergeladen.</w:t>
            </w:r>
            <w:r>
              <w:br/>
            </w:r>
            <w:r>
              <w:t>Default:</w:t>
            </w:r>
            <w:r>
              <w:br/>
            </w:r>
            <w:r>
              <w:rPr>
                <w:rFonts w:ascii="Courier New" w:hAnsi="Courier New" w:cs="Courier New"/>
              </w:rPr>
              <w:t>/policies/&lt;TI service&gt;/latest-sim</w:t>
            </w:r>
          </w:p>
        </w:tc>
      </w:tr>
      <w:tr>
        <w:tblPrEx>
          <w:tblW w:w="5000" w:type="pct"/>
          <w:jc w:val="left"/>
        </w:tblPrEx>
        <w:trPr>
          <w:trHeight w:val="180"/>
          <w:jc w:val="left"/>
        </w:trPr>
        <w:tc>
          <w:tcPr>
            <w:tcW w:w="360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rFonts w:ascii="Courier New" w:hAnsi="Courier New" w:cs="Courier New"/>
                <w:b/>
                <w:color w:val="000099"/>
              </w:rPr>
              <w:t>bundles:</w:t>
            </w:r>
            <w:r>
              <w:br/>
            </w:r>
            <w:r>
              <w:rPr>
                <w:rFonts w:ascii="Courier New" w:hAnsi="Courier New" w:cs="Courier New"/>
                <w:b/>
                <w:color w:val="000099"/>
              </w:rPr>
              <w:t>  authz:</w:t>
            </w:r>
            <w:r>
              <w:br/>
            </w:r>
            <w:r>
              <w:rPr>
                <w:rFonts w:ascii="Courier New" w:hAnsi="Courier New" w:cs="Courier New"/>
                <w:b/>
                <w:color w:val="000099"/>
              </w:rPr>
              <w:t>    polling:</w:t>
            </w:r>
            <w:r>
              <w:br/>
            </w:r>
            <w:r>
              <w:rPr>
                <w:rFonts w:ascii="Courier New" w:hAnsi="Courier New" w:cs="Courier New"/>
                <w:b/>
                <w:color w:val="000099"/>
              </w:rPr>
              <w:t>      min_delay_seconds:</w:t>
            </w:r>
            <w:r>
              <w:rPr>
                <w:rFonts w:ascii="Courier New" w:hAnsi="Courier New" w:cs="Courier New"/>
              </w:rPr>
              <w:t> &lt;min&gt;</w:t>
            </w:r>
            <w:r>
              <w:br/>
            </w:r>
            <w:r>
              <w:rPr>
                <w:rFonts w:ascii="Courier New" w:hAnsi="Courier New" w:cs="Courier New"/>
              </w:rPr>
              <w:t xml:space="preserve">      </w:t>
            </w:r>
            <w:r>
              <w:rPr>
                <w:rFonts w:ascii="Courier New" w:hAnsi="Courier New" w:cs="Courier New"/>
                <w:b/>
                <w:color w:val="000099"/>
              </w:rPr>
              <w:t>max_delay_seconds:</w:t>
            </w:r>
            <w:r>
              <w:rPr>
                <w:rFonts w:ascii="Courier New" w:hAnsi="Courier New" w:cs="Courier New"/>
              </w:rPr>
              <w:t> &lt;max&gt;</w:t>
            </w:r>
          </w:p>
        </w:tc>
        <w:tc>
          <w:tcPr>
            <w:tcW w:w="43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rFonts w:ascii="Courier New" w:hAnsi="Courier New" w:cs="Courier New"/>
              </w:rPr>
              <w:t>&lt;min&gt;</w:t>
            </w:r>
            <w:r>
              <w:br/>
            </w:r>
            <w:r>
              <w:t>Minimale Zeit bis zum nächsten Polling.</w:t>
            </w:r>
            <w:r>
              <w:br/>
            </w:r>
            <w:r>
              <w:t>Default: </w:t>
            </w:r>
            <w:r>
              <w:rPr>
                <w:rFonts w:ascii="Courier New" w:hAnsi="Courier New" w:cs="Courier New"/>
              </w:rPr>
              <w:t>300</w:t>
            </w:r>
            <w:r>
              <w:br/>
            </w:r>
            <w:r>
              <w:rPr>
                <w:rFonts w:ascii="Courier New" w:hAnsi="Courier New" w:cs="Courier New"/>
              </w:rPr>
              <w:t>&lt;max&gt;</w:t>
            </w:r>
            <w:r>
              <w:br/>
            </w:r>
            <w:r>
              <w:t>Maximale Zeit bis zum nächsten Polling.</w:t>
            </w:r>
            <w:r>
              <w:br/>
            </w:r>
            <w:r>
              <w:t>Default: </w:t>
            </w:r>
            <w:r>
              <w:rPr>
                <w:rFonts w:ascii="Courier New" w:hAnsi="Courier New" w:cs="Courier New"/>
              </w:rPr>
              <w:t>320</w:t>
            </w:r>
          </w:p>
        </w:tc>
        <w:tc>
          <w:tcPr>
            <w:tcW w:w="285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wie aktive PDP Instanz</w:t>
            </w:r>
          </w:p>
        </w:tc>
      </w:tr>
      <w:tr>
        <w:tblPrEx>
          <w:tblW w:w="5000" w:type="pct"/>
          <w:jc w:val="left"/>
        </w:tblPrEx>
        <w:trPr>
          <w:trHeight w:val="180"/>
          <w:jc w:val="left"/>
        </w:trPr>
        <w:tc>
          <w:tcPr>
            <w:tcW w:w="360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rFonts w:ascii="Courier New" w:hAnsi="Courier New" w:cs="Courier New"/>
                <w:b/>
                <w:color w:val="000099"/>
              </w:rPr>
              <w:t>bundles:</w:t>
            </w:r>
            <w:r>
              <w:br/>
            </w:r>
            <w:r>
              <w:rPr>
                <w:rFonts w:ascii="Courier New" w:hAnsi="Courier New" w:cs="Courier New"/>
                <w:b/>
                <w:color w:val="000099"/>
              </w:rPr>
              <w:t>  authz:</w:t>
            </w:r>
            <w:r>
              <w:br/>
            </w:r>
            <w:r>
              <w:rPr>
                <w:rFonts w:ascii="Courier New" w:hAnsi="Courier New" w:cs="Courier New"/>
              </w:rPr>
              <w:t xml:space="preserve">    </w:t>
            </w:r>
            <w:r>
              <w:rPr>
                <w:rFonts w:ascii="Courier New" w:hAnsi="Courier New" w:cs="Courier New"/>
                <w:b/>
                <w:color w:val="000099"/>
              </w:rPr>
              <w:t>signing:</w:t>
            </w:r>
            <w:r>
              <w:br/>
            </w:r>
            <w:r>
              <w:rPr>
                <w:rFonts w:ascii="Courier New" w:hAnsi="Courier New" w:cs="Courier New"/>
                <w:b/>
                <w:color w:val="000099"/>
              </w:rPr>
              <w:t>      keyid:</w:t>
            </w:r>
            <w:r>
              <w:rPr>
                <w:rFonts w:ascii="Courier New" w:hAnsi="Courier New" w:cs="Courier New"/>
              </w:rPr>
              <w:t> &lt;PIP_and_PAP_key&gt;</w:t>
            </w:r>
            <w:r>
              <w:br/>
            </w:r>
            <w:r>
              <w:rPr>
                <w:rFonts w:ascii="Courier New" w:hAnsi="Courier New" w:cs="Courier New"/>
              </w:rPr>
              <w:t xml:space="preserve">      </w:t>
            </w:r>
            <w:r>
              <w:rPr>
                <w:rFonts w:ascii="Courier New" w:hAnsi="Courier New" w:cs="Courier New"/>
                <w:b/>
                <w:color w:val="000099"/>
              </w:rPr>
              <w:t>scope:</w:t>
            </w:r>
            <w:r>
              <w:rPr>
                <w:rFonts w:ascii="Courier New" w:hAnsi="Courier New" w:cs="Courier New"/>
              </w:rPr>
              <w:t xml:space="preserve"> read</w:t>
            </w:r>
          </w:p>
        </w:tc>
        <w:tc>
          <w:tcPr>
            <w:tcW w:w="43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rFonts w:ascii="Courier New" w:hAnsi="Courier New" w:cs="Courier New"/>
              </w:rPr>
              <w:t>&lt;PIP_and_PAP_key&gt;</w:t>
            </w:r>
            <w:r>
              <w:br/>
            </w:r>
            <w:r>
              <w:t xml:space="preserve">Die </w:t>
            </w:r>
            <w:r>
              <w:rPr>
                <w:rFonts w:ascii="Courier New" w:hAnsi="Courier New" w:cs="Courier New"/>
              </w:rPr>
              <w:t>keyid</w:t>
            </w:r>
            <w:r>
              <w:t xml:space="preserve"> des Schlüssels, mit dem die OPA Bundles signiert sind.</w:t>
            </w:r>
            <w:r>
              <w:br/>
            </w:r>
            <w:r>
              <w:br/>
            </w:r>
          </w:p>
        </w:tc>
        <w:tc>
          <w:tcPr>
            <w:tcW w:w="285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wie aktive PDP Instanz</w:t>
            </w:r>
          </w:p>
        </w:tc>
      </w:tr>
      <w:tr>
        <w:tblPrEx>
          <w:tblW w:w="5000" w:type="pct"/>
          <w:jc w:val="left"/>
        </w:tblPrEx>
        <w:trPr>
          <w:trHeight w:val="180"/>
          <w:jc w:val="left"/>
        </w:trPr>
        <w:tc>
          <w:tcPr>
            <w:tcW w:w="360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rFonts w:ascii="Courier New" w:hAnsi="Courier New" w:cs="Courier New"/>
                <w:b/>
                <w:color w:val="000099"/>
                <w:sz w:val="20"/>
                <w:szCs w:val="20"/>
              </w:rPr>
              <w:t>decision_logs:</w:t>
            </w:r>
            <w:r>
              <w:br/>
            </w:r>
            <w:r>
              <w:rPr>
                <w:rFonts w:ascii="Courier New" w:hAnsi="Courier New" w:cs="Courier New"/>
                <w:sz w:val="20"/>
                <w:szCs w:val="20"/>
              </w:rPr>
              <w:t xml:space="preserve">  </w:t>
            </w:r>
            <w:r>
              <w:rPr>
                <w:rFonts w:ascii="Courier New" w:hAnsi="Courier New" w:cs="Courier New"/>
                <w:b/>
                <w:color w:val="000099"/>
                <w:sz w:val="20"/>
                <w:szCs w:val="20"/>
              </w:rPr>
              <w:t>service:</w:t>
            </w:r>
            <w:r>
              <w:rPr>
                <w:rFonts w:ascii="Courier New" w:hAnsi="Courier New" w:cs="Courier New"/>
                <w:sz w:val="20"/>
                <w:szCs w:val="20"/>
              </w:rPr>
              <w:t xml:space="preserve"> &lt;service name&gt;</w:t>
            </w:r>
            <w:r>
              <w:br/>
            </w:r>
            <w:r>
              <w:rPr>
                <w:rFonts w:ascii="Courier New" w:hAnsi="Courier New" w:cs="Courier New"/>
                <w:sz w:val="20"/>
                <w:szCs w:val="20"/>
              </w:rPr>
              <w:t xml:space="preserve">  </w:t>
            </w:r>
            <w:r>
              <w:rPr>
                <w:rFonts w:ascii="Courier New" w:hAnsi="Courier New" w:cs="Courier New"/>
                <w:b/>
                <w:color w:val="000099"/>
                <w:sz w:val="20"/>
                <w:szCs w:val="20"/>
              </w:rPr>
              <w:t>resource:</w:t>
            </w:r>
            <w:r>
              <w:rPr>
                <w:rFonts w:ascii="Courier New" w:hAnsi="Courier New" w:cs="Courier New"/>
                <w:sz w:val="20"/>
                <w:szCs w:val="20"/>
              </w:rPr>
              <w:t xml:space="preserve"> ${DL_REMOTE_URL}</w:t>
            </w:r>
            <w:r>
              <w:br/>
            </w:r>
            <w:r>
              <w:rPr>
                <w:rFonts w:ascii="Courier New" w:hAnsi="Courier New" w:cs="Courier New"/>
                <w:sz w:val="20"/>
                <w:szCs w:val="20"/>
              </w:rPr>
              <w:t xml:space="preserve">  </w:t>
            </w:r>
            <w:r>
              <w:rPr>
                <w:rFonts w:ascii="Courier New" w:hAnsi="Courier New" w:cs="Courier New"/>
                <w:b/>
                <w:color w:val="000099"/>
                <w:sz w:val="20"/>
                <w:szCs w:val="20"/>
              </w:rPr>
              <w:t>reporting:</w:t>
            </w:r>
            <w:r>
              <w:br/>
            </w:r>
            <w:r>
              <w:rPr>
                <w:rFonts w:ascii="Courier New" w:hAnsi="Courier New" w:cs="Courier New"/>
                <w:sz w:val="20"/>
                <w:szCs w:val="20"/>
              </w:rPr>
              <w:t xml:space="preserve">    </w:t>
            </w:r>
            <w:r>
              <w:rPr>
                <w:rFonts w:ascii="Courier New" w:hAnsi="Courier New" w:cs="Courier New"/>
                <w:b/>
                <w:color w:val="000099"/>
                <w:sz w:val="20"/>
                <w:szCs w:val="20"/>
              </w:rPr>
              <w:t>min_delay_seconds:</w:t>
            </w:r>
            <w:r>
              <w:rPr>
                <w:rFonts w:ascii="Courier New" w:hAnsi="Courier New" w:cs="Courier New"/>
                <w:sz w:val="20"/>
                <w:szCs w:val="20"/>
              </w:rPr>
              <w:t xml:space="preserve"> &lt;min&gt;</w:t>
            </w:r>
            <w:r>
              <w:br/>
            </w:r>
            <w:r>
              <w:rPr>
                <w:rFonts w:ascii="Courier New" w:hAnsi="Courier New" w:cs="Courier New"/>
                <w:sz w:val="20"/>
                <w:szCs w:val="20"/>
              </w:rPr>
              <w:t xml:space="preserve">    </w:t>
            </w:r>
            <w:r>
              <w:rPr>
                <w:rFonts w:ascii="Courier New" w:hAnsi="Courier New" w:cs="Courier New"/>
                <w:b/>
                <w:color w:val="000099"/>
                <w:sz w:val="20"/>
                <w:szCs w:val="20"/>
              </w:rPr>
              <w:t>max_delay_seconds:</w:t>
            </w:r>
            <w:r>
              <w:rPr>
                <w:rFonts w:ascii="Courier New" w:hAnsi="Courier New" w:cs="Courier New"/>
                <w:sz w:val="20"/>
                <w:szCs w:val="20"/>
              </w:rPr>
              <w:t xml:space="preserve"> &lt;max&gt;</w:t>
            </w:r>
          </w:p>
        </w:tc>
        <w:tc>
          <w:tcPr>
            <w:tcW w:w="436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rPr>
                <w:rFonts w:ascii="Courier New" w:hAnsi="Courier New" w:cs="Courier New"/>
                <w:sz w:val="20"/>
                <w:szCs w:val="20"/>
              </w:rPr>
              <w:t>${DL_REMOTE_URL}</w:t>
            </w:r>
            <w:r>
              <w:br/>
            </w:r>
            <w:r>
              <w:t xml:space="preserve"> </w:t>
            </w:r>
            <w:r>
              <w:rPr>
                <w:sz w:val="20"/>
                <w:szCs w:val="20"/>
              </w:rPr>
              <w:t>Die URL des Remote Servers, zu dem die decision logs gesendet werden. Dieser Parameter wird per environment Variable übergeben, sodass jeder Betreiber des PDP seinen eigenen Server angeben kann, der die decision logs empfängt.</w:t>
            </w:r>
            <w:r>
              <w:br/>
            </w:r>
            <w:r>
              <w:rPr>
                <w:rFonts w:ascii="Courier New" w:hAnsi="Courier New" w:cs="Courier New"/>
              </w:rPr>
              <w:t>&lt;min&gt;</w:t>
            </w:r>
            <w:r>
              <w:br/>
            </w:r>
            <w:r>
              <w:t xml:space="preserve"> Minimale Verzögerung bis zum nächsten Versand.</w:t>
            </w:r>
            <w:r>
              <w:br/>
            </w:r>
            <w:r>
              <w:t>Default: </w:t>
            </w:r>
            <w:r>
              <w:rPr>
                <w:rFonts w:ascii="Courier New" w:hAnsi="Courier New" w:cs="Courier New"/>
              </w:rPr>
              <w:t>300</w:t>
            </w:r>
            <w:r>
              <w:br/>
            </w:r>
            <w:r>
              <w:rPr>
                <w:rFonts w:ascii="Courier New" w:hAnsi="Courier New" w:cs="Courier New"/>
              </w:rPr>
              <w:t>&lt;max&gt;</w:t>
            </w:r>
            <w:r>
              <w:br/>
            </w:r>
            <w:r>
              <w:t>Maximale Verzögerung bis zum nächsten Versand.</w:t>
            </w:r>
            <w:r>
              <w:br/>
            </w:r>
            <w:r>
              <w:t>Default: 3</w:t>
            </w:r>
            <w:r>
              <w:rPr>
                <w:rFonts w:ascii="Courier New" w:hAnsi="Courier New" w:cs="Courier New"/>
              </w:rPr>
              <w:t>60</w:t>
            </w:r>
          </w:p>
        </w:tc>
        <w:tc>
          <w:tcPr>
            <w:tcW w:w="285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vAlign w:val="top"/>
          </w:tcPr>
          <w:p>
            <w:pPr>
              <w:jc w:val="left"/>
            </w:pPr>
            <w:r>
              <w:t>wie aktive PDP Instanz</w:t>
            </w:r>
          </w:p>
        </w:tc>
      </w:tr>
    </w:tbl>
    <w:p>
      <w:r>
        <w:rPr>
          <w:b/>
        </w:rPr>
        <w:t>[</w:t>
      </w:r>
      <w:r>
        <w:t>&lt;=</w:t>
      </w:r>
      <w:r>
        <w:rPr>
          <w:b/>
        </w:rPr>
        <w:t>]</w:t>
      </w:r>
    </w:p>
    <w:p>
      <w:pPr>
        <w:divId w:val="245"/>
      </w:pPr>
      <w:r>
        <w:rPr>
          <w:i/>
        </w:rPr>
        <w:t>Hinweis: Änderungen an der Konfiguration sind im Einvernehmen mit der gematik möglich.</w:t>
      </w:r>
    </w:p>
    <w:p>
      <w:pPr>
        <w:divId w:val="246"/>
      </w:pPr>
      <w:r>
        <w:t>Der OPA aktualisiert seine Policies und Daten nach dem vorgegebenen Polling-Intervall. Jede Download Anfrage enthält immer ein </w:t>
      </w:r>
      <w:r>
        <w:rPr>
          <w:rFonts w:ascii="Courier New" w:hAnsi="Courier New" w:cs="Courier New"/>
          <w:sz w:val="20"/>
          <w:szCs w:val="20"/>
        </w:rPr>
        <w:t>If-None-Match</w:t>
      </w:r>
      <w:r>
        <w:rPr>
          <w:sz w:val="20"/>
          <w:szCs w:val="20"/>
        </w:rPr>
        <w:t> </w:t>
      </w:r>
      <w:r>
        <w:t xml:space="preserve">Header mit dem hash des zuletzt heruntergeladenen bundles (aus dem </w:t>
      </w:r>
      <w:r>
        <w:rPr>
          <w:rFonts w:ascii="Courier New" w:hAnsi="Courier New" w:cs="Courier New"/>
        </w:rPr>
        <w:t>ETag</w:t>
      </w:r>
      <w:r>
        <w:t xml:space="preserve"> Header der Response). Wenn es keine neuen Daten zum Download gibt, dann beantwortet der PIP/PAP Service die Anfrage mit </w:t>
      </w:r>
      <w:r>
        <w:rPr>
          <w:rFonts w:ascii="Courier New" w:hAnsi="Courier New" w:cs="Courier New"/>
        </w:rPr>
        <w:t>304 Not Modified</w:t>
      </w:r>
      <w:r>
        <w:t>.</w:t>
      </w:r>
    </w:p>
    <w:p>
      <w:pPr>
        <w:divId w:val="247"/>
      </w:pPr>
      <w:r>
        <w:t xml:space="preserve">Die Bundles sind immer signiert. Der OPA prüft die Signatur mit dem zur konfigurierten </w:t>
      </w:r>
      <w:r>
        <w:rPr>
          <w:rFonts w:ascii="Courier New" w:hAnsi="Courier New" w:cs="Courier New"/>
        </w:rPr>
        <w:t>keyid</w:t>
      </w:r>
      <w:r>
        <w:t xml:space="preserve"> passenden Schlüssel. Gültige Schlüssel und deren </w:t>
      </w:r>
      <w:r>
        <w:rPr>
          <w:rFonts w:ascii="Courier New" w:hAnsi="Courier New" w:cs="Courier New"/>
        </w:rPr>
        <w:t>keyid</w:t>
      </w:r>
      <w:r>
        <w:t xml:space="preserve"> werden über einen Continuous Delivery Workflow aus GitHub geladen.</w:t>
      </w:r>
    </w:p>
    <w:p>
      <w:pPr>
        <w:divId w:val="248"/>
      </w:pPr>
      <w:r>
        <w:t>Die decision logs werden an die vom Betreiber des PDP festgelegte URL gesendet.</w:t>
      </w:r>
    </w:p>
    <w:p>
      <w:pPr>
        <w:spacing w:before="0" w:after="0"/>
      </w:pPr>
      <w:r>
        <w:rPr>
          <w:vanish/>
        </w:rPr>
        <w:t>Mainline_OPB1/ML-153934</w:t>
      </w:r>
      <w:r>
        <w:rPr>
          <w:b/>
        </w:rPr>
        <w:t>A_25772</w:t>
      </w:r>
      <w:r>
        <w:rPr>
          <w:b/>
        </w:rPr>
        <w:t xml:space="preserve"> - </w:t>
      </w:r>
      <w:r>
        <w:rPr>
          <w:b/>
        </w:rPr>
        <w:t>PDP -  persistente Speicherung von decision logs</w:t>
      </w:r>
    </w:p>
    <w:p>
      <w:r>
        <w:t>Der Betreiber eines TI 2.0 Dienstes MUSS einen Service bereitstellen, der OPA decision logs vom PDP entgegennimmt und diese persistent für 6 Monate speichert.</w:t>
      </w:r>
      <w:r>
        <w:rPr>
          <w:b/>
        </w:rPr>
        <w:t>[</w:t>
      </w:r>
      <w:r>
        <w:t>&lt;=</w:t>
      </w:r>
      <w:r>
        <w:rPr>
          <w:b/>
        </w:rPr>
        <w:t>]</w:t>
      </w:r>
    </w:p>
    <w:p>
      <w:pPr>
        <w:spacing w:before="0" w:after="0"/>
      </w:pPr>
      <w:r>
        <w:rPr>
          <w:vanish/>
        </w:rPr>
        <w:t>Mainline_OPB1/ML-152471</w:t>
      </w:r>
      <w:r>
        <w:rPr>
          <w:b/>
        </w:rPr>
        <w:t>A_25450</w:t>
      </w:r>
      <w:r>
        <w:rPr>
          <w:b/>
        </w:rPr>
        <w:t xml:space="preserve"> - </w:t>
      </w:r>
      <w:r>
        <w:rPr>
          <w:b/>
        </w:rPr>
        <w:t>PDP - Policy nur vom gematik PIP und PAP Service</w:t>
      </w:r>
    </w:p>
    <w:p>
      <w:r>
        <w:t>Der PDP MUSS sicherstellen, dass nur Policies und Daten vom gematik PIP und PAP Service importiert werden können.</w:t>
      </w:r>
      <w:r>
        <w:rPr>
          <w:b/>
        </w:rPr>
        <w:t>[</w:t>
      </w:r>
      <w:r>
        <w:t>&lt;=</w:t>
      </w:r>
      <w:r>
        <w:rPr>
          <w:b/>
        </w:rPr>
        <w:t>]</w:t>
      </w:r>
    </w:p>
    <w:p>
      <w:pPr>
        <w:spacing w:before="0" w:after="0"/>
      </w:pPr>
      <w:r>
        <w:rPr>
          <w:vanish/>
        </w:rPr>
        <w:t>Mainline_OPB1/ML-152470</w:t>
      </w:r>
      <w:r>
        <w:rPr>
          <w:b/>
        </w:rPr>
        <w:t>A_25451</w:t>
      </w:r>
      <w:r>
        <w:rPr>
          <w:b/>
        </w:rPr>
        <w:t xml:space="preserve"> - </w:t>
      </w:r>
      <w:r>
        <w:rPr>
          <w:b/>
        </w:rPr>
        <w:t>PDP - Integritätsprüfung der Policies</w:t>
      </w:r>
    </w:p>
    <w:p>
      <w:r>
        <w:t>Der PDP MUSS sicherstellen, dass Policies vom gematik PIP und PAP Service nur nach einer positiven Integritätsprüfung importiert werden können.</w:t>
      </w:r>
      <w:r>
        <w:rPr>
          <w:b/>
        </w:rPr>
        <w:t>[</w:t>
      </w:r>
      <w:r>
        <w:t>&lt;=</w:t>
      </w:r>
      <w:r>
        <w:rPr>
          <w:b/>
        </w:rPr>
        <w:t>]</w:t>
      </w:r>
    </w:p>
    <w:p>
      <w:pPr>
        <w:spacing w:before="0" w:after="0"/>
      </w:pPr>
      <w:r>
        <w:rPr>
          <w:vanish/>
        </w:rPr>
        <w:t>Mainline_OPB1/ML-152473</w:t>
      </w:r>
      <w:r>
        <w:rPr>
          <w:b/>
        </w:rPr>
        <w:t>A_25452</w:t>
      </w:r>
      <w:r>
        <w:rPr>
          <w:b/>
        </w:rPr>
        <w:t xml:space="preserve"> - </w:t>
      </w:r>
      <w:r>
        <w:rPr>
          <w:b/>
        </w:rPr>
        <w:t>PDP - Tamper-Proof Protokollierung von Administrationsaktivitäten</w:t>
      </w:r>
    </w:p>
    <w:p>
      <w:r>
        <w:t>Der PDP MUSS ein "Tamper-Proof" Audit-Log von allen administrativen Vorgängen umsetzen. </w:t>
      </w:r>
      <w:r>
        <w:rPr>
          <w:b/>
        </w:rPr>
        <w:t>[</w:t>
      </w:r>
      <w:r>
        <w:t>&lt;=</w:t>
      </w:r>
      <w:r>
        <w:rPr>
          <w:b/>
        </w:rPr>
        <w:t>]</w:t>
      </w:r>
    </w:p>
    <w:p>
      <w:pPr>
        <w:spacing w:before="0" w:after="0"/>
      </w:pPr>
      <w:r>
        <w:rPr>
          <w:vanish/>
        </w:rPr>
        <w:t>Mainline_OPB1/ML-153936</w:t>
      </w:r>
      <w:r>
        <w:rPr>
          <w:b/>
        </w:rPr>
        <w:t>A_25774</w:t>
      </w:r>
      <w:r>
        <w:rPr>
          <w:b/>
        </w:rPr>
        <w:t xml:space="preserve"> - </w:t>
      </w:r>
      <w:r>
        <w:rPr>
          <w:b/>
        </w:rPr>
        <w:t>PDP - Löschfristen für Auditeinträge des Admin Audit-Logs</w:t>
      </w:r>
    </w:p>
    <w:p>
      <w:r>
        <w:t>Der PDP MUSS sicherstellen, dass die Löschung eines Auditeintrags den gesetzlichen Vorgaben entspricht und frühestens nach 12 Monaten erfolgt.</w:t>
      </w:r>
      <w:r>
        <w:rPr>
          <w:b/>
        </w:rPr>
        <w:t>[</w:t>
      </w:r>
      <w:r>
        <w:t>&lt;=</w:t>
      </w:r>
      <w:r>
        <w:rPr>
          <w:b/>
        </w:rPr>
        <w:t>]</w:t>
      </w:r>
    </w:p>
    <w:p>
      <w:pPr>
        <w:spacing w:before="0" w:after="0"/>
      </w:pPr>
      <w:r>
        <w:rPr>
          <w:vanish/>
        </w:rPr>
        <w:t>Mainline_OPB1/ML-153937</w:t>
      </w:r>
      <w:r>
        <w:rPr>
          <w:b/>
        </w:rPr>
        <w:t>A_25775</w:t>
      </w:r>
      <w:r>
        <w:rPr>
          <w:b/>
        </w:rPr>
        <w:t xml:space="preserve"> - </w:t>
      </w:r>
      <w:r>
        <w:rPr>
          <w:b/>
        </w:rPr>
        <w:t>PDP - Kontrolle des Audit-Logs</w:t>
      </w:r>
    </w:p>
    <w:p>
      <w:r>
        <w:t>Der Betreiber des ZT Clusters MUSS das Audit-Log mindestens alle 3 Monate durch zwei unabhängige Rollen im Vieraugenprinzip kontrollieren. Diese Rollen DÜRFEN NICHT an der Administration des ZT Clusters teilnehmen. Bei der Kontrolle ist insbesondere auf ungewöhnliche, nicht nachvollziehbare oder maliziöse Administratoraktivitäten zu achten. </w:t>
      </w:r>
      <w:r>
        <w:rPr>
          <w:b/>
        </w:rPr>
        <w:t>[</w:t>
      </w:r>
      <w:r>
        <w:t>&lt;=</w:t>
      </w:r>
      <w:r>
        <w:rPr>
          <w:b/>
        </w:rPr>
        <w:t>]</w:t>
      </w:r>
    </w:p>
    <w:p>
      <w:pPr>
        <w:spacing w:before="0" w:after="0"/>
      </w:pPr>
      <w:r>
        <w:rPr>
          <w:vanish/>
        </w:rPr>
        <w:t>Mainline_OPB1/ML-152472</w:t>
      </w:r>
      <w:r>
        <w:rPr>
          <w:b/>
        </w:rPr>
        <w:t>A_25453</w:t>
      </w:r>
      <w:r>
        <w:rPr>
          <w:b/>
        </w:rPr>
        <w:t xml:space="preserve"> - </w:t>
      </w:r>
      <w:r>
        <w:rPr>
          <w:b/>
        </w:rPr>
        <w:t>PDP - Transparenz der installierte Policies</w:t>
      </w:r>
    </w:p>
    <w:p>
      <w:r>
        <w:t>Der PDP MUSS sicherstellen, dass die gematik zu jeder Zeit feststellen kann, welche Policies und welche Policy-Versionen im PDP installiert sind.</w:t>
      </w:r>
      <w:r>
        <w:rPr>
          <w:b/>
        </w:rPr>
        <w:t>[</w:t>
      </w:r>
      <w:r>
        <w:t>&lt;=</w:t>
      </w:r>
      <w:r>
        <w:rPr>
          <w:b/>
        </w:rPr>
        <w:t>]</w:t>
      </w:r>
    </w:p>
    <w:p>
      <w:pPr>
        <w:spacing w:before="0" w:after="0"/>
      </w:pPr>
      <w:r>
        <w:rPr>
          <w:vanish/>
        </w:rPr>
        <w:t>Mainline_OPB1/ML-152873</w:t>
      </w:r>
      <w:r>
        <w:rPr>
          <w:b/>
        </w:rPr>
        <w:t>A_25490</w:t>
      </w:r>
      <w:r>
        <w:rPr>
          <w:b/>
        </w:rPr>
        <w:t xml:space="preserve"> - </w:t>
      </w:r>
      <w:r>
        <w:rPr>
          <w:b/>
        </w:rPr>
        <w:t>PDP - Sicherheitsmeldung bei Änderungen und Aktualisierung</w:t>
      </w:r>
    </w:p>
    <w:p>
      <w:r>
        <w:t>Der PDP MUSS sicherstellen, dass bei Aktualisierung und Änderungen der Policies oder PIP-Daten eine Sicherheitsmeldung an das Security Monitoring automatisiert übermittelt wird. </w:t>
      </w:r>
      <w:r>
        <w:rPr>
          <w:b/>
        </w:rPr>
        <w:t>[</w:t>
      </w:r>
      <w:r>
        <w:t>&lt;=</w:t>
      </w:r>
      <w:r>
        <w:rPr>
          <w:b/>
        </w:rPr>
        <w:t>]</w:t>
      </w:r>
    </w:p>
    <w:p>
      <w:pPr>
        <w:spacing w:before="0" w:after="0"/>
      </w:pPr>
      <w:r>
        <w:rPr>
          <w:vanish/>
        </w:rPr>
        <w:t>Mainline_OPB1/ML-153933</w:t>
      </w:r>
      <w:r>
        <w:rPr>
          <w:b/>
        </w:rPr>
        <w:t>A_25771</w:t>
      </w:r>
      <w:r>
        <w:rPr>
          <w:b/>
        </w:rPr>
        <w:t xml:space="preserve"> - </w:t>
      </w:r>
      <w:r>
        <w:rPr>
          <w:b/>
        </w:rPr>
        <w:t>PDP - Automatisierte Prüfung nach Policy-Aktualisierungen</w:t>
      </w:r>
    </w:p>
    <w:p>
      <w:r>
        <w:t>Der PDP muss alle 5 Minuten prüfen, ob Aktualisierungen der installierten und verwendeten Policy/PIP Daten vorhanden sind.</w:t>
      </w:r>
      <w:r>
        <w:rPr>
          <w:b/>
        </w:rPr>
        <w:t>[</w:t>
      </w:r>
      <w:r>
        <w:t>&lt;=</w:t>
      </w:r>
      <w:r>
        <w:rPr>
          <w:b/>
        </w:rPr>
        <w:t>]</w:t>
      </w:r>
    </w:p>
    <w:p>
      <w:pPr>
        <w:pStyle w:val="Heading2"/>
        <w:divId w:val="249"/>
      </w:pPr>
      <w:bookmarkStart w:id="140" w:name="_Toc256000063"/>
      <w:r>
        <w:t>Anforderungen an den PIP und PAP Service</w:t>
      </w:r>
      <w:bookmarkEnd w:id="140"/>
    </w:p>
    <w:p>
      <w:pPr>
        <w:divId w:val="250"/>
      </w:pPr>
      <w:r>
        <w:t>Der PIP und PAP Service stellt OPA Bundles für die PDP Instanzen der Zero Trust Cluster der Dienste der TI 2.0 bereit. </w:t>
      </w:r>
    </w:p>
    <w:p>
      <w:pPr>
        <w:spacing w:before="0" w:after="0"/>
      </w:pPr>
      <w:r>
        <w:rPr>
          <w:vanish/>
        </w:rPr>
        <w:t>Mainline_OPB1/ML-153313</w:t>
      </w:r>
      <w:r>
        <w:rPr>
          <w:b/>
        </w:rPr>
        <w:t>A_25670</w:t>
      </w:r>
      <w:r>
        <w:rPr>
          <w:b/>
        </w:rPr>
        <w:t xml:space="preserve"> - </w:t>
      </w:r>
      <w:r>
        <w:rPr>
          <w:b/>
        </w:rPr>
        <w:t>PIP und PAP - Bereitstellung Download-Endpunkt</w:t>
      </w:r>
    </w:p>
    <w:p>
      <w:r>
        <w:t>Der PIP und PAP Service MUSS Download-Endpunkte für OPA Bundles gemäß OpenAPI Spezifikation [pip-pap-service.yaml] Version 1.0.0 in den folgenden Instanzen bereitstellen:</w:t>
      </w:r>
      <w:r>
        <w:br/>
      </w:r>
      <w:r>
        <w:t xml:space="preserve">Produktions-Instanz: </w:t>
      </w:r>
      <w:hyperlink r:id="rId22" w:history="1">
        <w:r>
          <w:rPr>
            <w:color w:val="0000FF" w:themeColor="hyperlink"/>
            <w:u w:val="single"/>
          </w:rPr>
          <w:t>https://pip-pap.ti-dienste.de</w:t>
        </w:r>
      </w:hyperlink>
      <w:r>
        <w:t> </w:t>
      </w:r>
      <w:r>
        <w:br/>
      </w:r>
      <w:r>
        <w:t xml:space="preserve">Referenz-Instanz: </w:t>
      </w:r>
      <w:hyperlink r:id="rId23" w:history="1">
        <w:r>
          <w:rPr>
            <w:color w:val="0000FF" w:themeColor="hyperlink"/>
            <w:u w:val="single"/>
          </w:rPr>
          <w:t>https://pip-pap-ref.ti-dienste.de</w:t>
        </w:r>
      </w:hyperlink>
      <w:r>
        <w:t> </w:t>
      </w:r>
      <w:r>
        <w:br/>
      </w:r>
      <w:r>
        <w:t xml:space="preserve">Test-Instanz: </w:t>
      </w:r>
      <w:hyperlink r:id="rId24" w:history="1">
        <w:r>
          <w:rPr>
            <w:color w:val="0000FF" w:themeColor="hyperlink"/>
            <w:u w:val="single"/>
          </w:rPr>
          <w:t>https://pip-pap-test.ti-dienste.de</w:t>
        </w:r>
      </w:hyperlink>
      <w:r>
        <w:t>.</w:t>
      </w:r>
      <w:r>
        <w:rPr>
          <w:b/>
        </w:rPr>
        <w:t>[</w:t>
      </w:r>
      <w:r>
        <w:t>&lt;=</w:t>
      </w:r>
      <w:r>
        <w:rPr>
          <w:b/>
        </w:rPr>
        <w:t>]</w:t>
      </w:r>
    </w:p>
    <w:p>
      <w:pPr>
        <w:divId w:val="251"/>
      </w:pPr>
      <w:r>
        <w:rPr>
          <w:i/>
        </w:rPr>
        <w:t>Hinweis: Die Bereitstellung der Test-Instanz erfolgt nur während einer Testphase und kann eine andere Version der [pip-pap-service.yaml] unterstützen. Für die Entwicklung und Tests anderer Komponenten wird empfohlen, die Referenz-Instanz zu verwenden.</w:t>
      </w:r>
    </w:p>
    <w:p>
      <w:pPr>
        <w:spacing w:before="0" w:after="0"/>
      </w:pPr>
      <w:r>
        <w:rPr>
          <w:vanish/>
        </w:rPr>
        <w:t>Mainline_OPB1/ML-153314</w:t>
      </w:r>
      <w:r>
        <w:rPr>
          <w:b/>
        </w:rPr>
        <w:t>A_25671</w:t>
      </w:r>
      <w:r>
        <w:rPr>
          <w:b/>
        </w:rPr>
        <w:t xml:space="preserve"> - </w:t>
      </w:r>
      <w:r>
        <w:rPr>
          <w:b/>
        </w:rPr>
        <w:t>PIP und PAP - TLS am Download-Endpunkt</w:t>
      </w:r>
    </w:p>
    <w:p>
      <w:r>
        <w:t>Der PIP und PAP Service MUSS sich beim TLS-Verbindungsaufbau am Download-Endpunkt gegenüber Clients mit einem Extended Validation TLS-Zertifikat eines Herausgebers gemäß [CAB-Forum] authentisieren.</w:t>
      </w:r>
      <w:r>
        <w:rPr>
          <w:b/>
        </w:rPr>
        <w:t>[</w:t>
      </w:r>
      <w:r>
        <w:t>&lt;=</w:t>
      </w:r>
      <w:r>
        <w:rPr>
          <w:b/>
        </w:rPr>
        <w:t>]</w:t>
      </w:r>
    </w:p>
    <w:p>
      <w:pPr>
        <w:spacing w:before="0" w:after="0"/>
      </w:pPr>
      <w:r>
        <w:rPr>
          <w:vanish/>
        </w:rPr>
        <w:t>Mainline_OPB1/ML-153315</w:t>
      </w:r>
      <w:r>
        <w:rPr>
          <w:b/>
        </w:rPr>
        <w:t>A_25672</w:t>
      </w:r>
      <w:r>
        <w:rPr>
          <w:b/>
        </w:rPr>
        <w:t xml:space="preserve"> - </w:t>
      </w:r>
      <w:r>
        <w:rPr>
          <w:b/>
        </w:rPr>
        <w:t>PIP und PAP - Kompatibilität mit OPA Bundles</w:t>
      </w:r>
    </w:p>
    <w:p>
      <w:r>
        <w:t>Der PIP und PAP Service MUSS die Policies und Daten als [OPA Bundle] bereitstellen.</w:t>
      </w:r>
      <w:r>
        <w:rPr>
          <w:b/>
        </w:rPr>
        <w:t>[</w:t>
      </w:r>
      <w:r>
        <w:t>&lt;=</w:t>
      </w:r>
      <w:r>
        <w:rPr>
          <w:b/>
        </w:rPr>
        <w:t>]</w:t>
      </w:r>
    </w:p>
    <w:p>
      <w:pPr>
        <w:spacing w:before="0" w:after="0"/>
      </w:pPr>
      <w:r>
        <w:rPr>
          <w:vanish/>
        </w:rPr>
        <w:t>Mainline_OPB1/ML-153338</w:t>
      </w:r>
      <w:r>
        <w:rPr>
          <w:b/>
        </w:rPr>
        <w:t>A_25680</w:t>
      </w:r>
      <w:r>
        <w:rPr>
          <w:b/>
        </w:rPr>
        <w:t xml:space="preserve"> - </w:t>
      </w:r>
      <w:r>
        <w:rPr>
          <w:b/>
        </w:rPr>
        <w:t>PIP und PAP - download path</w:t>
      </w:r>
    </w:p>
    <w:p>
      <w:r>
        <w:t>Der PIP und PAP Service MUSS OPA Bundles mit dem filename = bundle.tar.gz unter dem Pfad </w:t>
      </w:r>
      <w:r>
        <w:rPr>
          <w:color w:val="800000"/>
        </w:rPr>
        <w:t>/policies/{application}/{label}</w:t>
      </w:r>
      <w:r>
        <w:t xml:space="preserve"> bereitstellen, wobei mindestens die label "latest" und "latest-sim" pro application angeboten werden.</w:t>
      </w:r>
      <w:r>
        <w:rPr>
          <w:b/>
        </w:rPr>
        <w:t>[</w:t>
      </w:r>
      <w:r>
        <w:t>&lt;=</w:t>
      </w:r>
      <w:r>
        <w:rPr>
          <w:b/>
        </w:rPr>
        <w:t>]</w:t>
      </w:r>
    </w:p>
    <w:p>
      <w:pPr>
        <w:divId w:val="252"/>
      </w:pPr>
      <w:r>
        <w:rPr>
          <w:i/>
        </w:rPr>
        <w:t>Hinweis: Siehe [pip-pap-service.yaml]. Unter dem label "latest" werden Bundles für den aktiven PDP bereitgestellt. Unter dem label "latest-sim" werden Bundles für die Simulations-PDP Instanz bereitgestellt.</w:t>
      </w:r>
      <w:r>
        <w:br/>
      </w:r>
      <w:r>
        <w:rPr>
          <w:i/>
        </w:rPr>
        <w:t>Der PIP und PAP Service bezieht die OPA Bundles aus einem GitHub Repository der gematik. Die Bundles werden in einem GitOps CI Prozess mit Quality Gates entwickelt und für die PDPs der Zero Trust Cluster bereitgestellt.</w:t>
      </w:r>
    </w:p>
    <w:p>
      <w:pPr>
        <w:spacing w:before="0" w:after="0"/>
      </w:pPr>
      <w:r>
        <w:rPr>
          <w:vanish/>
        </w:rPr>
        <w:t>Mainline_OPB1/ML-153324</w:t>
      </w:r>
      <w:r>
        <w:rPr>
          <w:b/>
        </w:rPr>
        <w:t>A_25673</w:t>
      </w:r>
      <w:r>
        <w:rPr>
          <w:b/>
        </w:rPr>
        <w:t xml:space="preserve"> - </w:t>
      </w:r>
      <w:r>
        <w:rPr>
          <w:b/>
        </w:rPr>
        <w:t>PIP und PAP - ETags für OPA Bundles</w:t>
      </w:r>
    </w:p>
    <w:p>
      <w:r>
        <w:t>Der PIP und PAP Service MUSS für jedes zum Download bereitgestellte OPA Bundle in der Response ein ETag Header-Element verwenden, das aus dem Hashwert der bundle.tar.gz Datei besteht.</w:t>
      </w:r>
      <w:r>
        <w:rPr>
          <w:b/>
        </w:rPr>
        <w:t>[</w:t>
      </w:r>
      <w:r>
        <w:t>&lt;=</w:t>
      </w:r>
      <w:r>
        <w:rPr>
          <w:b/>
        </w:rPr>
        <w:t>]</w:t>
      </w:r>
    </w:p>
    <w:p>
      <w:pPr>
        <w:divId w:val="253"/>
      </w:pPr>
      <w:r>
        <w:rPr>
          <w:i/>
        </w:rPr>
        <w:t>Hinweis: Durch die Verwendung des Hashwertes der bundle.tar.gz Datei als ETag wird es möglich, den Download-Endpunkt auf mehrere Server zu verteilen. Wichtig ist nur, dass das ETag auf allen Servern gleich ist, damit bereits erhaltene OPA Bundles nicht erneut heruntergeladen werden.</w:t>
      </w:r>
    </w:p>
    <w:p>
      <w:pPr>
        <w:spacing w:before="0" w:after="0"/>
      </w:pPr>
      <w:r>
        <w:rPr>
          <w:vanish/>
        </w:rPr>
        <w:t>Mainline_OPB1/ML-153323</w:t>
      </w:r>
      <w:r>
        <w:rPr>
          <w:b/>
        </w:rPr>
        <w:t>A_25674</w:t>
      </w:r>
      <w:r>
        <w:rPr>
          <w:b/>
        </w:rPr>
        <w:t xml:space="preserve"> - </w:t>
      </w:r>
      <w:r>
        <w:rPr>
          <w:b/>
        </w:rPr>
        <w:t>PIP und PAP - OPA Bundle Signaturprüfung</w:t>
      </w:r>
    </w:p>
    <w:p>
      <w:r>
        <w:t>Der PIP und PAP Service MUSS für alle bereitgestellten OPA Bundles prüfen, ob deren Signatur vorhanden und gültig ist.</w:t>
      </w:r>
      <w:r>
        <w:rPr>
          <w:b/>
        </w:rPr>
        <w:t>[</w:t>
      </w:r>
      <w:r>
        <w:t>&lt;=</w:t>
      </w:r>
      <w:r>
        <w:rPr>
          <w:b/>
        </w:rPr>
        <w:t>]</w:t>
      </w:r>
    </w:p>
    <w:p>
      <w:pPr>
        <w:divId w:val="254"/>
      </w:pPr>
      <w:r>
        <w:rPr>
          <w:i/>
        </w:rPr>
        <w:t>Hinweis: In dieser Spezifikation wird der Prozess, wie die OPA Bundles sicher in den PIP und PAP Service gelangen, nicht festgelegt.</w:t>
      </w:r>
    </w:p>
    <w:p>
      <w:pPr>
        <w:spacing w:before="0" w:after="0"/>
      </w:pPr>
      <w:r>
        <w:rPr>
          <w:vanish/>
        </w:rPr>
        <w:t>Mainline_OPB1/ML-152719</w:t>
      </w:r>
      <w:r>
        <w:rPr>
          <w:b/>
        </w:rPr>
        <w:t>A_25464</w:t>
      </w:r>
      <w:r>
        <w:rPr>
          <w:b/>
        </w:rPr>
        <w:t xml:space="preserve"> - </w:t>
      </w:r>
      <w:r>
        <w:rPr>
          <w:b/>
        </w:rPr>
        <w:t>PAP und PIP - Tamper-Proof Protokollierung von Andminstrationsaktivitäten</w:t>
      </w:r>
    </w:p>
    <w:p>
      <w:r>
        <w:t xml:space="preserve">Der PIP und PAP Service </w:t>
      </w:r>
      <w:r>
        <w:t>MUSS ein "Tamper-Proof" Audit-Log von allen administrativen Vorgängen umsetzen.</w:t>
      </w:r>
      <w:r>
        <w:rPr>
          <w:b/>
        </w:rPr>
        <w:t>[</w:t>
      </w:r>
      <w:r>
        <w:t>&lt;=</w:t>
      </w:r>
      <w:r>
        <w:rPr>
          <w:b/>
        </w:rPr>
        <w:t>]</w:t>
      </w:r>
    </w:p>
    <w:p>
      <w:pPr>
        <w:spacing w:before="0" w:after="0"/>
      </w:pPr>
      <w:r>
        <w:rPr>
          <w:vanish/>
        </w:rPr>
        <w:t>Mainline_OPB1/ML-153940</w:t>
      </w:r>
      <w:r>
        <w:rPr>
          <w:b/>
        </w:rPr>
        <w:t>A_25777</w:t>
      </w:r>
      <w:r>
        <w:rPr>
          <w:b/>
        </w:rPr>
        <w:t xml:space="preserve"> - </w:t>
      </w:r>
      <w:r>
        <w:rPr>
          <w:b/>
        </w:rPr>
        <w:t>PAP und PIP - Löschfristen Auditeinträge des Admin Audit-Logs</w:t>
      </w:r>
    </w:p>
    <w:p>
      <w:r>
        <w:t>Der PIP und PAP Service MUSS sicherstellen, dass die Löschung eines Auditeintrags den gesetzlichen Vorgaben entspricht und frühestens nach 12 Monaten erfolgt.</w:t>
      </w:r>
      <w:r>
        <w:rPr>
          <w:b/>
        </w:rPr>
        <w:t>[</w:t>
      </w:r>
      <w:r>
        <w:t>&lt;=</w:t>
      </w:r>
      <w:r>
        <w:rPr>
          <w:b/>
        </w:rPr>
        <w:t>]</w:t>
      </w:r>
    </w:p>
    <w:p>
      <w:pPr>
        <w:spacing w:before="0" w:after="0"/>
      </w:pPr>
      <w:r>
        <w:rPr>
          <w:vanish/>
        </w:rPr>
        <w:t>Mainline_OPB1/ML-153939</w:t>
      </w:r>
      <w:r>
        <w:rPr>
          <w:b/>
        </w:rPr>
        <w:t>A_25778</w:t>
      </w:r>
      <w:r>
        <w:rPr>
          <w:b/>
        </w:rPr>
        <w:t xml:space="preserve"> - </w:t>
      </w:r>
      <w:r>
        <w:rPr>
          <w:b/>
        </w:rPr>
        <w:t>PAP und PIP - Kontrolle des Audit-Logs</w:t>
      </w:r>
    </w:p>
    <w:p>
      <w:r>
        <w:t>Der Betreiber des PIP und PAP Services MUSS das Audit-Log mindestens alle 3 Monate durch zwei unabhängige Rollen im Vieraugenprinzip kontrollieren. Diese Rollen DÜRFEN NICHT an der Administration des PAPs oder PIPs teilnehmen. Bei der Kontrolle ist insbesondere auf ungewöhnliche, nicht nachvollziehbare oder maliziöse Administratoraktivitäten zu achten.</w:t>
      </w:r>
      <w:r>
        <w:rPr>
          <w:b/>
        </w:rPr>
        <w:t>[</w:t>
      </w:r>
      <w:r>
        <w:t>&lt;=</w:t>
      </w:r>
      <w:r>
        <w:rPr>
          <w:b/>
        </w:rPr>
        <w:t>]</w:t>
      </w:r>
    </w:p>
    <w:p>
      <w:pPr>
        <w:spacing w:before="0" w:after="0"/>
      </w:pPr>
      <w:r>
        <w:rPr>
          <w:vanish/>
        </w:rPr>
        <w:t>Mainline_OPB1/ML-152717</w:t>
      </w:r>
      <w:r>
        <w:rPr>
          <w:b/>
        </w:rPr>
        <w:t>A_25465</w:t>
      </w:r>
      <w:r>
        <w:rPr>
          <w:b/>
        </w:rPr>
        <w:t xml:space="preserve"> - </w:t>
      </w:r>
      <w:r>
        <w:rPr>
          <w:b/>
        </w:rPr>
        <w:t>PAP und PIP - Änderungen nur durch berechtigte Nutzer</w:t>
      </w:r>
    </w:p>
    <w:p>
      <w:r>
        <w:t>Der PIP und PAP Service MUSS sicherstellen, dass nur berechtigte Nutzer Änderungen von Policies oder PIP-Daten durchführen können. </w:t>
      </w:r>
      <w:r>
        <w:rPr>
          <w:b/>
        </w:rPr>
        <w:t>[</w:t>
      </w:r>
      <w:r>
        <w:t>&lt;=</w:t>
      </w:r>
      <w:r>
        <w:rPr>
          <w:b/>
        </w:rPr>
        <w:t>]</w:t>
      </w:r>
    </w:p>
    <w:p>
      <w:pPr>
        <w:spacing w:before="0" w:after="0"/>
      </w:pPr>
      <w:r>
        <w:rPr>
          <w:vanish/>
        </w:rPr>
        <w:t>Mainline_OPB1/ML-152718</w:t>
      </w:r>
      <w:r>
        <w:rPr>
          <w:b/>
        </w:rPr>
        <w:t>A_25466</w:t>
      </w:r>
      <w:r>
        <w:rPr>
          <w:b/>
        </w:rPr>
        <w:t xml:space="preserve"> - </w:t>
      </w:r>
      <w:r>
        <w:rPr>
          <w:b/>
        </w:rPr>
        <w:t>PAP und PIP - Sicherheitsmeldung bei Aktualisierung von Policies oder PIP-Daten</w:t>
      </w:r>
    </w:p>
    <w:p>
      <w:r>
        <w:t>Der PIP und PAP Service MUSS sicherstellen, dass bei der Aktualisierung der Policies oder der PIP-Daten eine Sicherheitsmeldung automatisiert über die von der gematik angebotene Schnittstelle an das TI SIEM System übermittelt wird.</w:t>
      </w:r>
      <w:r>
        <w:rPr>
          <w:b/>
        </w:rPr>
        <w:t>[</w:t>
      </w:r>
      <w:r>
        <w:t>&lt;=</w:t>
      </w:r>
      <w:r>
        <w:rPr>
          <w:b/>
        </w:rPr>
        <w:t>]</w:t>
      </w:r>
    </w:p>
    <w:p>
      <w:pPr>
        <w:spacing w:before="0" w:after="0"/>
      </w:pPr>
      <w:r>
        <w:rPr>
          <w:vanish/>
        </w:rPr>
        <w:t>Mainline_OPB1/ML-152720</w:t>
      </w:r>
      <w:r>
        <w:rPr>
          <w:b/>
        </w:rPr>
        <w:t>A_25467</w:t>
      </w:r>
      <w:r>
        <w:rPr>
          <w:b/>
        </w:rPr>
        <w:t xml:space="preserve"> - </w:t>
      </w:r>
      <w:r>
        <w:rPr>
          <w:b/>
        </w:rPr>
        <w:t>PAP und PIP - Änderungen nur unter 4 Augen</w:t>
      </w:r>
    </w:p>
    <w:p>
      <w:r>
        <w:t>Der PIP und PAP Service MUSS sicherstellen, dass Änderungen in Policies oder PIP-Daten nur im Vieraugenprinzip durchgeführt werden können.</w:t>
      </w:r>
      <w:r>
        <w:rPr>
          <w:b/>
        </w:rPr>
        <w:t>[</w:t>
      </w:r>
      <w:r>
        <w:t>&lt;=</w:t>
      </w:r>
      <w:r>
        <w:rPr>
          <w:b/>
        </w:rPr>
        <w:t>]</w:t>
      </w:r>
    </w:p>
    <w:p>
      <w:pPr>
        <w:spacing w:before="0" w:after="0"/>
      </w:pPr>
      <w:r>
        <w:rPr>
          <w:vanish/>
        </w:rPr>
        <w:t>Mainline_OPB1/ML-153958</w:t>
      </w:r>
      <w:r>
        <w:rPr>
          <w:b/>
        </w:rPr>
        <w:t>A_25791</w:t>
      </w:r>
      <w:r>
        <w:rPr>
          <w:b/>
        </w:rPr>
        <w:t xml:space="preserve"> - </w:t>
      </w:r>
      <w:r>
        <w:rPr>
          <w:b/>
        </w:rPr>
        <w:t>PAP und PIP - Zentrale Verwaltung von Feature-Flags</w:t>
      </w:r>
    </w:p>
    <w:p>
      <w:r>
        <w:rPr>
          <w:sz w:val="20"/>
          <w:szCs w:val="20"/>
        </w:rPr>
        <w:t>PIP und PAP Service MUSS eine zentrale Schnittstelle oder ein System zur Verwaltung der Feature-Flags bereitstellen.</w:t>
      </w:r>
      <w:r>
        <w:rPr>
          <w:b/>
        </w:rPr>
        <w:t>[</w:t>
      </w:r>
      <w:r>
        <w:t>&lt;=</w:t>
      </w:r>
      <w:r>
        <w:rPr>
          <w:b/>
        </w:rPr>
        <w:t>]</w:t>
      </w:r>
    </w:p>
    <w:p>
      <w:pPr>
        <w:pStyle w:val="Heading2"/>
        <w:divId w:val="255"/>
      </w:pPr>
      <w:bookmarkStart w:id="141" w:name="_Toc256000064"/>
      <w:r>
        <w:t>Anforderungen an den Betrieb der Zero Trust Komponenten</w:t>
      </w:r>
      <w:bookmarkEnd w:id="141"/>
    </w:p>
    <w:p>
      <w:pPr>
        <w:divId w:val="256"/>
      </w:pPr>
      <w:r>
        <w:t>Die Zero Trust-Komponenten PEP und PDP werden als Kubernetes (k8s) Cluster betrieben. In einem von der gematik vorgegebenen GitHub Repository werden die Konfigurationsdateien des k8s Clusters bereitgestellt, mit denen die aktuelle Version des Clusters erstellt und ausgeführt werden kann. Im Cluster ist zusätzlich ein Cluster Management Service (Continuous Delivery (CD) Komponente) enthalten, der den Betriebszustand des Clusters überwacht und regelmäßig prüft, ob eine neuere Version des Clusters im GitHub Repository verfügbar ist, und ggf. das Cluster automatisch aktualisiert.</w:t>
      </w:r>
    </w:p>
    <w:p>
      <w:pPr>
        <w:spacing w:before="0" w:after="0"/>
      </w:pPr>
      <w:r>
        <w:rPr>
          <w:vanish/>
        </w:rPr>
        <w:t>Mainline_OPB1/ML-153935</w:t>
      </w:r>
      <w:r>
        <w:rPr>
          <w:b/>
        </w:rPr>
        <w:t>A_25773</w:t>
      </w:r>
      <w:r>
        <w:rPr>
          <w:b/>
        </w:rPr>
        <w:t xml:space="preserve"> - </w:t>
      </w:r>
      <w:r>
        <w:rPr>
          <w:b/>
        </w:rPr>
        <w:t>Zero Trust-Cluster - Nutzung des von gematik bereitgestellten Zero Trust Clusters</w:t>
      </w:r>
    </w:p>
    <w:p>
      <w:r>
        <w:t>Der Betreiber eines Dienstes der TI 2.0 MUSS den von gematik bereitgestellten Zero Trust-Cluster verwenden, um den Zugang zum TI 2.0 Dienst zu kontrollieren.</w:t>
      </w:r>
      <w:r>
        <w:rPr>
          <w:b/>
        </w:rPr>
        <w:t>[</w:t>
      </w:r>
      <w:r>
        <w:t>&lt;=</w:t>
      </w:r>
      <w:r>
        <w:rPr>
          <w:b/>
        </w:rPr>
        <w:t>]</w:t>
      </w:r>
    </w:p>
    <w:p>
      <w:pPr>
        <w:spacing w:before="0" w:after="0"/>
      </w:pPr>
      <w:r>
        <w:rPr>
          <w:vanish/>
        </w:rPr>
        <w:t>Mainline_OPB1/ML-153938</w:t>
      </w:r>
      <w:r>
        <w:rPr>
          <w:b/>
        </w:rPr>
        <w:t>A_25776</w:t>
      </w:r>
      <w:r>
        <w:rPr>
          <w:b/>
        </w:rPr>
        <w:t xml:space="preserve"> - </w:t>
      </w:r>
      <w:r>
        <w:rPr>
          <w:b/>
        </w:rPr>
        <w:t>Zero Trust-Cluster - Keine eigenmächtige Veränderung der Konfiguration</w:t>
      </w:r>
    </w:p>
    <w:p>
      <w:r>
        <w:t>Der Betreiber eines Dienstes der TI 2.0 DARF NICHT eigenmächtig die Konfiguration des Zero Trust-Clusters verändern.</w:t>
      </w:r>
      <w:r>
        <w:rPr>
          <w:b/>
        </w:rPr>
        <w:t>[</w:t>
      </w:r>
      <w:r>
        <w:t>&lt;=</w:t>
      </w:r>
      <w:r>
        <w:rPr>
          <w:b/>
        </w:rPr>
        <w:t>]</w:t>
      </w:r>
    </w:p>
    <w:p>
      <w:pPr>
        <w:pStyle w:val="Heading3"/>
        <w:divId w:val="257"/>
      </w:pPr>
      <w:bookmarkStart w:id="142" w:name="_Toc256000065"/>
      <w:r>
        <w:t>Anforderungen für nahtlose Aktualisierungen</w:t>
      </w:r>
      <w:bookmarkEnd w:id="142"/>
    </w:p>
    <w:p>
      <w:pPr>
        <w:divId w:val="258"/>
      </w:pPr>
      <w:r>
        <w:t>Es ist durch geeignete Maßnahmen sicherzustellen, dass ein unterbrechungsfreier Betrieb, bzw. die durchgängige Verfügbarkeit zu jeder Zeit gewährleistet ist.</w:t>
      </w:r>
    </w:p>
    <w:p>
      <w:pPr>
        <w:spacing w:before="0" w:after="0"/>
      </w:pPr>
      <w:r>
        <w:rPr>
          <w:vanish/>
        </w:rPr>
        <w:t>Mainline_OPB1/ML-153951</w:t>
      </w:r>
      <w:r>
        <w:rPr>
          <w:b/>
        </w:rPr>
        <w:t>A_25784</w:t>
      </w:r>
      <w:r>
        <w:rPr>
          <w:b/>
        </w:rPr>
        <w:t xml:space="preserve"> - </w:t>
      </w:r>
      <w:r>
        <w:rPr>
          <w:b/>
        </w:rPr>
        <w:t>Zero Trust-Komponenten - Download von Aktualisierungen im Hintergrund</w:t>
      </w:r>
    </w:p>
    <w:p>
      <w:r>
        <w:rPr>
          <w:sz w:val="20"/>
          <w:szCs w:val="20"/>
        </w:rPr>
        <w:t>Die Komponente der Zero Trust Architektur MUSS in der Lage sein, Aktualisierungen im Hintergrund herunterzuladen, ohne den laufenden Betrieb zu beeinträchtigen.</w:t>
      </w:r>
      <w:r>
        <w:rPr>
          <w:b/>
        </w:rPr>
        <w:t>[</w:t>
      </w:r>
      <w:r>
        <w:t>&lt;=</w:t>
      </w:r>
      <w:r>
        <w:rPr>
          <w:b/>
        </w:rPr>
        <w:t>]</w:t>
      </w:r>
    </w:p>
    <w:p>
      <w:pPr>
        <w:spacing w:before="0" w:after="0"/>
      </w:pPr>
      <w:r>
        <w:rPr>
          <w:vanish/>
        </w:rPr>
        <w:t>Mainline_OPB1/ML-153952</w:t>
      </w:r>
      <w:r>
        <w:rPr>
          <w:b/>
        </w:rPr>
        <w:t>A_25785</w:t>
      </w:r>
      <w:r>
        <w:rPr>
          <w:b/>
        </w:rPr>
        <w:t xml:space="preserve"> - </w:t>
      </w:r>
      <w:r>
        <w:rPr>
          <w:b/>
        </w:rPr>
        <w:t>Zero Trust-Komponenten - Nahtloser Übergang zu neuen Versionen</w:t>
      </w:r>
    </w:p>
    <w:p>
      <w:r>
        <w:rPr>
          <w:sz w:val="20"/>
          <w:szCs w:val="20"/>
        </w:rPr>
        <w:t>Die Komponente der Zero Trust Architektur MUSS einen Mechanismus bieten, der einen nahtlosen Übergang zu neuen Versionen oder Patches ermöglicht, ohne die Verfügbarkeit für Endbenutzer zu unterbrechen.</w:t>
      </w:r>
      <w:r>
        <w:rPr>
          <w:b/>
        </w:rPr>
        <w:t>[</w:t>
      </w:r>
      <w:r>
        <w:t>&lt;=</w:t>
      </w:r>
      <w:r>
        <w:rPr>
          <w:b/>
        </w:rPr>
        <w:t>]</w:t>
      </w:r>
    </w:p>
    <w:p>
      <w:pPr>
        <w:spacing w:before="0" w:after="0"/>
      </w:pPr>
      <w:r>
        <w:rPr>
          <w:vanish/>
        </w:rPr>
        <w:t>Mainline_OPB1/ML-156228</w:t>
      </w:r>
      <w:r>
        <w:rPr>
          <w:b/>
        </w:rPr>
        <w:t>A_26104</w:t>
      </w:r>
      <w:r>
        <w:rPr>
          <w:b/>
        </w:rPr>
        <w:t xml:space="preserve"> - </w:t>
      </w:r>
      <w:r>
        <w:rPr>
          <w:b/>
        </w:rPr>
        <w:t>Zero Trust-Komponenten - Protokollieren von Änderungen</w:t>
      </w:r>
    </w:p>
    <w:p>
      <w:r>
        <w:rPr>
          <w:sz w:val="20"/>
          <w:szCs w:val="20"/>
        </w:rPr>
        <w:t>Die Komponente der Zero Trust Architektur MUSS jede Änderung</w:t>
      </w:r>
      <w:r>
        <w:t xml:space="preserve"> pro</w:t>
      </w:r>
      <w:r>
        <w:rPr>
          <w:sz w:val="20"/>
          <w:szCs w:val="20"/>
        </w:rPr>
        <w:t>tokollieren, einschließlich des Zeitpunkts der Änderung und des Administrators, der die Änderung vorgenommen hat.</w:t>
      </w:r>
      <w:r>
        <w:rPr>
          <w:b/>
        </w:rPr>
        <w:t>[</w:t>
      </w:r>
      <w:r>
        <w:t>&lt;=</w:t>
      </w:r>
      <w:r>
        <w:rPr>
          <w:b/>
        </w:rPr>
        <w:t>]</w:t>
      </w:r>
    </w:p>
    <w:p>
      <w:pPr>
        <w:spacing w:before="0" w:after="0"/>
      </w:pPr>
      <w:r>
        <w:rPr>
          <w:vanish/>
        </w:rPr>
        <w:t>Mainline_OPB1/ML-153953</w:t>
      </w:r>
      <w:r>
        <w:rPr>
          <w:b/>
        </w:rPr>
        <w:t>A_25786</w:t>
      </w:r>
      <w:r>
        <w:rPr>
          <w:b/>
        </w:rPr>
        <w:t xml:space="preserve"> - </w:t>
      </w:r>
      <w:r>
        <w:rPr>
          <w:b/>
        </w:rPr>
        <w:t>Zero Trust-Komponenten - Abschluss von Transaktionen vor Aktualisierung</w:t>
      </w:r>
    </w:p>
    <w:p>
      <w:r>
        <w:rPr>
          <w:sz w:val="20"/>
          <w:szCs w:val="20"/>
        </w:rPr>
        <w:t>Die Komponente der Zero Trust Architektur MUSS sicherstellen, dass alle aktuellen Transaktionen und Anfragen abgeschlossen oder ordnungsgemäß übernommen werden, bevor ein Update finalisiert wird.</w:t>
      </w:r>
      <w:r>
        <w:rPr>
          <w:b/>
        </w:rPr>
        <w:t>[</w:t>
      </w:r>
      <w:r>
        <w:t>&lt;=</w:t>
      </w:r>
      <w:r>
        <w:rPr>
          <w:b/>
        </w:rPr>
        <w:t>]</w:t>
      </w:r>
    </w:p>
    <w:p>
      <w:pPr>
        <w:spacing w:before="0" w:after="0"/>
      </w:pPr>
      <w:r>
        <w:rPr>
          <w:vanish/>
        </w:rPr>
        <w:t>Mainline_OPB1/ML-153954</w:t>
      </w:r>
      <w:r>
        <w:rPr>
          <w:b/>
        </w:rPr>
        <w:t>A_25787</w:t>
      </w:r>
      <w:r>
        <w:rPr>
          <w:b/>
        </w:rPr>
        <w:t xml:space="preserve"> - </w:t>
      </w:r>
      <w:r>
        <w:rPr>
          <w:b/>
        </w:rPr>
        <w:t>Zero Trust-Komponenten - Gewährleistung der Systemintegrität während Aktualisierungen</w:t>
      </w:r>
    </w:p>
    <w:p>
      <w:r>
        <w:rPr>
          <w:sz w:val="20"/>
          <w:szCs w:val="20"/>
        </w:rPr>
        <w:t>Die Komponente der Zero Trust Architektur MUSS während des gesamten Aktualisierungsprozesses die Systemintegrität und Sicherheitsrichtlinien aufrechterhalten.</w:t>
      </w:r>
      <w:r>
        <w:rPr>
          <w:b/>
        </w:rPr>
        <w:t>[</w:t>
      </w:r>
      <w:r>
        <w:t>&lt;=</w:t>
      </w:r>
      <w:r>
        <w:rPr>
          <w:b/>
        </w:rPr>
        <w:t>]</w:t>
      </w:r>
    </w:p>
    <w:p>
      <w:pPr>
        <w:spacing w:before="0" w:after="0"/>
      </w:pPr>
      <w:r>
        <w:rPr>
          <w:vanish/>
        </w:rPr>
        <w:t>Mainline_OPB1/ML-153955</w:t>
      </w:r>
      <w:r>
        <w:rPr>
          <w:b/>
        </w:rPr>
        <w:t>A_25788</w:t>
      </w:r>
      <w:r>
        <w:rPr>
          <w:b/>
        </w:rPr>
        <w:t xml:space="preserve"> - </w:t>
      </w:r>
      <w:r>
        <w:rPr>
          <w:b/>
        </w:rPr>
        <w:t>Zero Trust-Komponenten - Unterstützung von Rollbacks</w:t>
      </w:r>
    </w:p>
    <w:p>
      <w:r>
        <w:rPr>
          <w:sz w:val="20"/>
          <w:szCs w:val="20"/>
        </w:rPr>
        <w:t>Die Komponente der Zero Trust Architektur MUSS die Fähigkeit besitzen, zu einer stabilen Vorversion zurückzukehren, sollte eine Aktualisierung fehlerhaft sein oder abgebrochen werden müssen.</w:t>
      </w:r>
      <w:r>
        <w:rPr>
          <w:b/>
        </w:rPr>
        <w:t>[</w:t>
      </w:r>
      <w:r>
        <w:t>&lt;=</w:t>
      </w:r>
      <w:r>
        <w:rPr>
          <w:b/>
        </w:rPr>
        <w:t>]</w:t>
      </w:r>
    </w:p>
    <w:p>
      <w:pPr>
        <w:spacing w:before="0" w:after="0"/>
      </w:pPr>
      <w:r>
        <w:rPr>
          <w:vanish/>
        </w:rPr>
        <w:t>Mainline_OPB1/ML-153956</w:t>
      </w:r>
      <w:r>
        <w:rPr>
          <w:b/>
        </w:rPr>
        <w:t>A_25789</w:t>
      </w:r>
      <w:r>
        <w:rPr>
          <w:b/>
        </w:rPr>
        <w:t xml:space="preserve"> - </w:t>
      </w:r>
      <w:r>
        <w:rPr>
          <w:b/>
        </w:rPr>
        <w:t>Zero Trust-Komponenten - Schnelle Rollback-Durchführung</w:t>
      </w:r>
    </w:p>
    <w:p>
      <w:r>
        <w:rPr>
          <w:sz w:val="20"/>
          <w:szCs w:val="20"/>
        </w:rPr>
        <w:t>Die Komponente der Zero Trust Architektur MUSS Rollbacks schnell und ohne manuelle Eingriffe durchführen können.</w:t>
      </w:r>
      <w:r>
        <w:rPr>
          <w:b/>
        </w:rPr>
        <w:t>[</w:t>
      </w:r>
      <w:r>
        <w:t>&lt;=</w:t>
      </w:r>
      <w:r>
        <w:rPr>
          <w:b/>
        </w:rPr>
        <w:t>]</w:t>
      </w:r>
    </w:p>
    <w:p>
      <w:pPr>
        <w:pStyle w:val="Heading3"/>
        <w:divId w:val="259"/>
      </w:pPr>
      <w:bookmarkStart w:id="143" w:name="_Toc256000066"/>
      <w:r>
        <w:t>Anforderungen für Steuerung durch Feature-Flags</w:t>
      </w:r>
      <w:bookmarkEnd w:id="143"/>
    </w:p>
    <w:p>
      <w:pPr>
        <w:spacing w:before="0" w:after="0"/>
      </w:pPr>
      <w:r>
        <w:rPr>
          <w:vanish/>
        </w:rPr>
        <w:t>Mainline_OPB1/ML-153957</w:t>
      </w:r>
      <w:r>
        <w:rPr>
          <w:b/>
        </w:rPr>
        <w:t>A_25790</w:t>
      </w:r>
      <w:r>
        <w:rPr>
          <w:b/>
        </w:rPr>
        <w:t xml:space="preserve"> - </w:t>
      </w:r>
      <w:r>
        <w:rPr>
          <w:b/>
        </w:rPr>
        <w:t>Zero Trust-Komponenten - Aktivierung/Deaktivierung von Funktionen in Echtzeit</w:t>
      </w:r>
    </w:p>
    <w:p>
      <w:r>
        <w:rPr>
          <w:sz w:val="20"/>
          <w:szCs w:val="20"/>
        </w:rPr>
        <w:t>Die Komponente der Zero Trust Architektur MUSS Funktionen oder Verhaltensweisen zur Laufzeit durch Feature-Flags aktivieren oder deaktivieren können, ohne dass ein Neustart erforderlich ist.</w:t>
      </w:r>
      <w:r>
        <w:rPr>
          <w:b/>
        </w:rPr>
        <w:t>[</w:t>
      </w:r>
      <w:r>
        <w:t>&lt;=</w:t>
      </w:r>
      <w:r>
        <w:rPr>
          <w:b/>
        </w:rPr>
        <w:t>]</w:t>
      </w:r>
    </w:p>
    <w:p>
      <w:pPr>
        <w:spacing w:before="0" w:after="0"/>
      </w:pPr>
      <w:r>
        <w:rPr>
          <w:vanish/>
        </w:rPr>
        <w:t>Mainline_OPB1/ML-153959</w:t>
      </w:r>
      <w:r>
        <w:rPr>
          <w:b/>
        </w:rPr>
        <w:t>A_25792</w:t>
      </w:r>
      <w:r>
        <w:rPr>
          <w:b/>
        </w:rPr>
        <w:t xml:space="preserve"> - </w:t>
      </w:r>
      <w:r>
        <w:rPr>
          <w:b/>
        </w:rPr>
        <w:t>Zero Trust-Komponenten - Protokollierung von Feature-Flag-Änderungen</w:t>
      </w:r>
    </w:p>
    <w:p>
      <w:r>
        <w:rPr>
          <w:sz w:val="20"/>
          <w:szCs w:val="20"/>
        </w:rPr>
        <w:t>Die Komponente der Zero Trust Architektur MUSS jede Änderung an Feature-Fla</w:t>
      </w:r>
      <w:r>
        <w:t>gs „Tamper-Proof“ pro</w:t>
      </w:r>
      <w:r>
        <w:rPr>
          <w:sz w:val="20"/>
          <w:szCs w:val="20"/>
        </w:rPr>
        <w:t xml:space="preserve">tokollieren, einschließlich des Zeitpunkts der Änderung und des Administrators, </w:t>
      </w:r>
      <w:r>
        <w:rPr>
          <w:sz w:val="20"/>
          <w:szCs w:val="20"/>
        </w:rPr>
        <w:t xml:space="preserve"> der die Änderung vorgenommen hat.</w:t>
      </w:r>
      <w:r>
        <w:rPr>
          <w:b/>
        </w:rPr>
        <w:t>[</w:t>
      </w:r>
      <w:r>
        <w:t>&lt;=</w:t>
      </w:r>
      <w:r>
        <w:rPr>
          <w:b/>
        </w:rPr>
        <w:t>]</w:t>
      </w:r>
    </w:p>
    <w:p>
      <w:pPr>
        <w:divId w:val="260"/>
      </w:pPr>
      <w:r>
        <w:rPr>
          <w:i/>
        </w:rPr>
        <w:t xml:space="preserve">Hinweis: Hier sollte das Protokoll mit dem Tamper-Proof Audit-Log in </w:t>
      </w:r>
      <w:hyperlink r:id="rId25" w:history="1">
        <w:r>
          <w:rPr>
            <w:vanish/>
          </w:rPr>
          <w:t>5</w:t>
        </w:r>
        <w:r>
          <w:rPr>
            <w:i/>
            <w:u w:val="dotted"/>
          </w:rPr>
          <w:t>A_25452</w:t>
        </w:r>
      </w:hyperlink>
      <w:r>
        <w:rPr>
          <w:i/>
        </w:rPr>
        <w:t> kombiniert werden.</w:t>
      </w:r>
    </w:p>
    <w:p>
      <w:pPr>
        <w:spacing w:before="0" w:after="0"/>
      </w:pPr>
      <w:r>
        <w:rPr>
          <w:vanish/>
        </w:rPr>
        <w:t>Mainline_OPB1/ML-153961</w:t>
      </w:r>
      <w:r>
        <w:rPr>
          <w:b/>
        </w:rPr>
        <w:t>A_25793</w:t>
      </w:r>
      <w:r>
        <w:rPr>
          <w:b/>
        </w:rPr>
        <w:t xml:space="preserve"> - </w:t>
      </w:r>
      <w:r>
        <w:rPr>
          <w:b/>
        </w:rPr>
        <w:t>Zero Trust-Komponenten - Zugriffskontrolle für Feature-Flag-Verwaltung</w:t>
      </w:r>
    </w:p>
    <w:p>
      <w:r>
        <w:rPr>
          <w:sz w:val="20"/>
          <w:szCs w:val="20"/>
        </w:rPr>
        <w:t>Die Komponente der Zero Trust Architektur MUSS Zugriffskontrollen implementieren, um sicherzustellen, dass nur autorisierte Benutzer Feature-Flags ändern können.</w:t>
      </w:r>
      <w:r>
        <w:rPr>
          <w:b/>
        </w:rPr>
        <w:t>[</w:t>
      </w:r>
      <w:r>
        <w:t>&lt;=</w:t>
      </w:r>
      <w:r>
        <w:rPr>
          <w:b/>
        </w:rPr>
        <w:t>]</w:t>
      </w:r>
    </w:p>
    <w:p>
      <w:pPr>
        <w:pStyle w:val="Heading3"/>
        <w:divId w:val="261"/>
      </w:pPr>
      <w:bookmarkStart w:id="144" w:name="_Toc256000067"/>
      <w:r>
        <w:t>Anforderungen zur Überwachung des Betriebsstatus</w:t>
      </w:r>
      <w:bookmarkEnd w:id="144"/>
    </w:p>
    <w:p>
      <w:pPr>
        <w:spacing w:before="0" w:after="0"/>
      </w:pPr>
      <w:r>
        <w:rPr>
          <w:vanish/>
        </w:rPr>
        <w:t>Mainline_OPB1/ML-153962</w:t>
      </w:r>
      <w:r>
        <w:rPr>
          <w:b/>
        </w:rPr>
        <w:t>A_25794</w:t>
      </w:r>
      <w:r>
        <w:rPr>
          <w:b/>
        </w:rPr>
        <w:t xml:space="preserve"> - </w:t>
      </w:r>
      <w:r>
        <w:rPr>
          <w:b/>
        </w:rPr>
        <w:t>Zero Trust-Komponenten - Implementierung von Health Checks</w:t>
      </w:r>
    </w:p>
    <w:p>
      <w:r>
        <w:rPr>
          <w:sz w:val="20"/>
          <w:szCs w:val="20"/>
        </w:rPr>
        <w:t>Die Komponente der Zero Trust Architektur MUSS Health Checks implementieren, um ihren aktuellen Zustand und ihre Verfügbarkeit zu überwachen. </w:t>
      </w:r>
      <w:r>
        <w:rPr>
          <w:b/>
        </w:rPr>
        <w:t>[</w:t>
      </w:r>
      <w:r>
        <w:t>&lt;=</w:t>
      </w:r>
      <w:r>
        <w:rPr>
          <w:b/>
        </w:rPr>
        <w:t>]</w:t>
      </w:r>
    </w:p>
    <w:p>
      <w:pPr>
        <w:spacing w:before="0" w:after="0"/>
      </w:pPr>
      <w:r>
        <w:rPr>
          <w:vanish/>
        </w:rPr>
        <w:t>Mainline_OPB1/ML-153967</w:t>
      </w:r>
      <w:r>
        <w:rPr>
          <w:b/>
        </w:rPr>
        <w:t>A_25797</w:t>
      </w:r>
      <w:r>
        <w:rPr>
          <w:b/>
        </w:rPr>
        <w:t xml:space="preserve"> - </w:t>
      </w:r>
      <w:r>
        <w:rPr>
          <w:b/>
        </w:rPr>
        <w:t>Zero Trust-Komponenten - Verfügbarkeit der Health Checks für gematik Monitoring</w:t>
      </w:r>
    </w:p>
    <w:p>
      <w:r>
        <w:rPr>
          <w:sz w:val="20"/>
          <w:szCs w:val="20"/>
        </w:rPr>
        <w:t>Die Komponente der Zero Trust Architektur MUSS die Schnittstellen zu Health Checks dem gematik Monitoring zur Verfügung stellen.</w:t>
      </w:r>
      <w:r>
        <w:rPr>
          <w:b/>
        </w:rPr>
        <w:t>[</w:t>
      </w:r>
      <w:r>
        <w:t>&lt;=</w:t>
      </w:r>
      <w:r>
        <w:rPr>
          <w:b/>
        </w:rPr>
        <w:t>]</w:t>
      </w:r>
    </w:p>
    <w:p>
      <w:pPr>
        <w:spacing w:before="0" w:after="0"/>
      </w:pPr>
      <w:r>
        <w:rPr>
          <w:vanish/>
        </w:rPr>
        <w:t>Mainline_OPB1/ML-153963</w:t>
      </w:r>
      <w:r>
        <w:rPr>
          <w:b/>
        </w:rPr>
        <w:t>A_25795</w:t>
      </w:r>
      <w:r>
        <w:rPr>
          <w:b/>
        </w:rPr>
        <w:t xml:space="preserve"> - </w:t>
      </w:r>
      <w:r>
        <w:rPr>
          <w:b/>
        </w:rPr>
        <w:t>Zero Trust-Komponenten - Automatische Antwort auf Health Check Anfragen</w:t>
      </w:r>
    </w:p>
    <w:p>
      <w:r>
        <w:rPr>
          <w:sz w:val="20"/>
          <w:szCs w:val="20"/>
        </w:rPr>
        <w:t>Die Komponente der Zero Trust Architektur MUSS automatisch auf Health Check Anfragen antworten können, um ihre Funktionalität und Verfügbarkeit zu bestätigen.</w:t>
      </w:r>
      <w:r>
        <w:rPr>
          <w:b/>
        </w:rPr>
        <w:t>[</w:t>
      </w:r>
      <w:r>
        <w:t>&lt;=</w:t>
      </w:r>
      <w:r>
        <w:rPr>
          <w:b/>
        </w:rPr>
        <w:t>]</w:t>
      </w:r>
    </w:p>
    <w:p>
      <w:pPr>
        <w:spacing w:before="0" w:after="0"/>
      </w:pPr>
      <w:r>
        <w:rPr>
          <w:vanish/>
        </w:rPr>
        <w:t>Mainline_OPB1/ML-153964</w:t>
      </w:r>
      <w:r>
        <w:rPr>
          <w:b/>
        </w:rPr>
        <w:t>A_25796</w:t>
      </w:r>
      <w:r>
        <w:rPr>
          <w:b/>
        </w:rPr>
        <w:t xml:space="preserve"> - </w:t>
      </w:r>
      <w:r>
        <w:rPr>
          <w:b/>
        </w:rPr>
        <w:t>Zero Trust-Komponenten - Bereitstellung von Zustandsinformationen</w:t>
      </w:r>
    </w:p>
    <w:p>
      <w:r>
        <w:rPr>
          <w:sz w:val="20"/>
          <w:szCs w:val="20"/>
        </w:rPr>
        <w:t>Die Komponente der Zero Trust Architektur MUSS detaillierte Zustandsinformationen als Teil ihrer Health Check Antworten bereitstellen, einschließlich - aber nicht beschränkt auf - Betriebszeit, letzte erfolgreiche Transaktion und eventuelle Fehlerzustände.</w:t>
      </w:r>
      <w:r>
        <w:rPr>
          <w:b/>
        </w:rPr>
        <w:t>[</w:t>
      </w:r>
      <w:r>
        <w:t>&lt;=</w:t>
      </w:r>
      <w:r>
        <w:rPr>
          <w:b/>
        </w:rPr>
        <w:t>]</w:t>
      </w:r>
    </w:p>
    <w:p>
      <w:pPr>
        <w:spacing w:before="0" w:after="0"/>
      </w:pPr>
      <w:r>
        <w:rPr>
          <w:vanish/>
        </w:rPr>
        <w:t>Mainline_OPB1/ML-153968</w:t>
      </w:r>
      <w:r>
        <w:rPr>
          <w:b/>
        </w:rPr>
        <w:t>A_25798</w:t>
      </w:r>
      <w:r>
        <w:rPr>
          <w:b/>
        </w:rPr>
        <w:t xml:space="preserve"> - </w:t>
      </w:r>
      <w:r>
        <w:rPr>
          <w:b/>
        </w:rPr>
        <w:t>Zero Trust-Komponenten - Regelmäßige Selbstüberprüfung</w:t>
      </w:r>
    </w:p>
    <w:p>
      <w:r>
        <w:rPr>
          <w:sz w:val="20"/>
          <w:szCs w:val="20"/>
        </w:rPr>
        <w:t>Die Komponente der Zero Trust Architektur MUSS in der Lage sein, regelmäßige Selbstüberprüfungen durchzuführen, um interne Funktionen und Abhängigkeiten zu verifizieren und sicherzustellen, dass sie korrekt arbeiten.</w:t>
      </w:r>
      <w:r>
        <w:rPr>
          <w:b/>
        </w:rPr>
        <w:t>[</w:t>
      </w:r>
      <w:r>
        <w:t>&lt;=</w:t>
      </w:r>
      <w:r>
        <w:rPr>
          <w:b/>
        </w:rPr>
        <w:t>]</w:t>
      </w:r>
    </w:p>
    <w:p>
      <w:pPr>
        <w:spacing w:before="0" w:after="0"/>
      </w:pPr>
      <w:r>
        <w:rPr>
          <w:vanish/>
        </w:rPr>
        <w:t>Mainline_OPB1/ML-153966</w:t>
      </w:r>
      <w:r>
        <w:rPr>
          <w:b/>
        </w:rPr>
        <w:t>A_25799</w:t>
      </w:r>
      <w:r>
        <w:rPr>
          <w:b/>
        </w:rPr>
        <w:t xml:space="preserve"> - </w:t>
      </w:r>
      <w:r>
        <w:rPr>
          <w:b/>
        </w:rPr>
        <w:t>Zero Trust-Komponenten - Protokollierung von Health Check Ergebnissen</w:t>
      </w:r>
    </w:p>
    <w:p>
      <w:r>
        <w:rPr>
          <w:sz w:val="20"/>
          <w:szCs w:val="20"/>
        </w:rPr>
        <w:t>Die Komponente der Zero Trust Architektur MUSS die Ergebnisse der Health Checks protokollieren, um eine Historie ihrer Betriebszustände und eventuell aufgetretener Probleme zu erhalten.</w:t>
      </w:r>
      <w:r>
        <w:rPr>
          <w:b/>
        </w:rPr>
        <w:t>[</w:t>
      </w:r>
      <w:r>
        <w:t>&lt;=</w:t>
      </w:r>
      <w:r>
        <w:rPr>
          <w:b/>
        </w:rPr>
        <w:t>]</w:t>
      </w:r>
    </w:p>
    <w:p>
      <w:pPr>
        <w:spacing w:before="0" w:after="0"/>
      </w:pPr>
      <w:r>
        <w:rPr>
          <w:vanish/>
        </w:rPr>
        <w:t>Mainline_OPB1/ML-153970</w:t>
      </w:r>
      <w:r>
        <w:rPr>
          <w:b/>
        </w:rPr>
        <w:t>A_25800</w:t>
      </w:r>
      <w:r>
        <w:rPr>
          <w:b/>
        </w:rPr>
        <w:t xml:space="preserve"> - </w:t>
      </w:r>
      <w:r>
        <w:rPr>
          <w:b/>
        </w:rPr>
        <w:t>Zero Trust-Komponenten - Benachrichtigung bei Fehlern</w:t>
      </w:r>
    </w:p>
    <w:p>
      <w:r>
        <w:rPr>
          <w:sz w:val="20"/>
          <w:szCs w:val="20"/>
        </w:rPr>
        <w:t>Die Komponente der Zero Trust Architektur MUSS im Falle eines fehlgeschlagenen Health Checks oder der Erkennung eines kritischen Zustandes automatisch eine Benachrichtigung an ein vordefiniertes Management- oder Monitoring-System senden.</w:t>
      </w:r>
      <w:r>
        <w:rPr>
          <w:b/>
        </w:rPr>
        <w:t>[</w:t>
      </w:r>
      <w:r>
        <w:t>&lt;=</w:t>
      </w:r>
      <w:r>
        <w:rPr>
          <w:b/>
        </w:rPr>
        <w:t>]</w:t>
      </w:r>
    </w:p>
    <w:p>
      <w:pPr>
        <w:divId w:val="262"/>
      </w:pPr>
      <w:r>
        <w:t>Der Hersteller der Zero Trust-Komponenten wird im Rahmen seiner Entwicklungs- und Wartungstätigkeit die Aufgaben eines Third (3</w:t>
      </w:r>
      <w:r>
        <w:rPr>
          <w:vertAlign w:val="superscript"/>
        </w:rPr>
        <w:t>rd</w:t>
      </w:r>
      <w:r>
        <w:t>) Level Supports gewährleisten. First- (1</w:t>
      </w:r>
      <w:r>
        <w:rPr>
          <w:vertAlign w:val="superscript"/>
        </w:rPr>
        <w:t>st</w:t>
      </w:r>
      <w:r>
        <w:t>) und Second- (2</w:t>
      </w:r>
      <w:r>
        <w:rPr>
          <w:vertAlign w:val="superscript"/>
        </w:rPr>
        <w:t>nd</w:t>
      </w:r>
      <w:r>
        <w:t>) Level Supporttätigkeiten fallen zukünftig in den Verantwortungsbereich des Dienstes, in welchen die Zero Trust-Komponenten eingebettet werden.</w:t>
      </w:r>
    </w:p>
    <w:p>
      <w:pPr>
        <w:divId w:val="263"/>
      </w:pPr>
      <w:r>
        <w:rPr>
          <w:u w:val="single"/>
        </w:rPr>
        <w:t>Hinweis:</w:t>
      </w:r>
      <w:r>
        <w:rPr>
          <w:i/>
        </w:rPr>
        <w:t xml:space="preserve"> Weitere spezifikatorische Regelungen finden zu einem späteren Zeitpunkt statt.</w:t>
      </w:r>
    </w:p>
    <w:p>
      <w:pPr>
        <w:pStyle w:val="Heading3"/>
        <w:divId w:val="264"/>
      </w:pPr>
      <w:bookmarkStart w:id="145" w:name="_Toc256000068"/>
      <w:r>
        <w:t>Betriebliche Schnittstellendefinition der Zero Trust-Komponenten</w:t>
      </w:r>
      <w:bookmarkEnd w:id="145"/>
    </w:p>
    <w:p>
      <w:pPr>
        <w:divId w:val="265"/>
      </w:pPr>
      <w:r>
        <w:t>Die Zero-Trust Komponenten PEP und PDP stellen Endpunkte zur Verfügung, um die grundlegende Funktionalität, eingebettet in einen Service, zu gewährleisten. Jeder Dienst, der die Zero-Trust Komponenten betreibt, stellt damit folgende Endpunkte für einen Nutzer zur Verfügung. Die Tabelle orientiert sich an den Schnittstellendefinition aus [gemKPT_Betr].</w:t>
      </w:r>
    </w:p>
    <w:p>
      <w:pPr>
        <w:pStyle w:val="Caption"/>
        <w:keepNext/>
        <w:jc w:val="left"/>
      </w:pPr>
      <w:r>
        <w:t xml:space="preserve">Table </w:t>
      </w:r>
      <w:r>
        <w:fldChar w:fldCharType="begin"/>
      </w:r>
      <w:r>
        <w:instrText xml:space="preserve"> SEQ Table \* ARABIC </w:instrText>
      </w:r>
      <w:r>
        <w:fldChar w:fldCharType="separate"/>
      </w:r>
      <w:r>
        <w:t>1</w:t>
      </w:r>
      <w:r>
        <w:fldChar w:fldCharType="end"/>
      </w:r>
      <w:r>
        <w:t xml:space="preserve"> Tab_gemF_Zero-Trust_Schnittstellendefinition_PEPPDP</w:t>
      </w:r>
    </w:p>
    <w:tbl>
      <w:tblPr>
        <w:tblStyle w:val="PolarionTableNormal"/>
        <w:tblW w:w="5000" w:type="pct"/>
        <w:jc w:val="center"/>
        <w:tblBorders>
          <w:top w:val="single" w:sz="8" w:space="0" w:color="CCCCCC"/>
          <w:left w:val="single" w:sz="8" w:space="0" w:color="CCCCCC"/>
          <w:bottom w:val="single" w:sz="8" w:space="0" w:color="CCCCCC"/>
          <w:right w:val="single" w:sz="8" w:space="0" w:color="CCCCCC"/>
        </w:tblBorders>
      </w:tblPr>
      <w:tblGrid>
        <w:gridCol w:w="594"/>
        <w:gridCol w:w="4089"/>
        <w:gridCol w:w="4537"/>
      </w:tblGrid>
      <w:tr>
        <w:tblPrEx>
          <w:tblW w:w="5000" w:type="pct"/>
          <w:jc w:val="center"/>
          <w:tblBorders>
            <w:top w:val="single" w:sz="8" w:space="0" w:color="CCCCCC"/>
            <w:left w:val="single" w:sz="8" w:space="0" w:color="CCCCCC"/>
            <w:bottom w:val="single" w:sz="8" w:space="0" w:color="CCCCCC"/>
            <w:right w:val="single" w:sz="8" w:space="0" w:color="CCCCCC"/>
          </w:tblBorders>
        </w:tblPrEx>
        <w:trPr>
          <w:divId w:val="266"/>
          <w:trHeight w:val="240"/>
          <w:jc w:val="center"/>
        </w:trPr>
        <w:tc>
          <w:tcPr>
            <w:tcW w:w="645"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sz w:val="20"/>
                <w:szCs w:val="20"/>
              </w:rPr>
              <w:t>A-ID</w:t>
            </w:r>
          </w:p>
        </w:tc>
        <w:tc>
          <w:tcPr>
            <w:tcW w:w="4680"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sz w:val="20"/>
                <w:szCs w:val="20"/>
              </w:rPr>
              <w:t>Schnittstellen::Operation / Anwendungsfall</w:t>
            </w:r>
          </w:p>
        </w:tc>
        <w:tc>
          <w:tcPr>
            <w:tcW w:w="5490"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t>Beschreibung</w:t>
            </w:r>
          </w:p>
        </w:tc>
      </w:tr>
      <w:tr>
        <w:tblPrEx>
          <w:tblW w:w="5000" w:type="pct"/>
          <w:jc w:val="center"/>
        </w:tblPrEx>
        <w:trPr>
          <w:divId w:val="266"/>
          <w:trHeight w:val="285"/>
          <w:jc w:val="center"/>
        </w:trPr>
        <w:tc>
          <w:tcPr>
            <w:tcW w:w="64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tcPr>
          <w:p>
            <w:r>
              <w:t>A01</w:t>
            </w:r>
          </w:p>
        </w:tc>
        <w:tc>
          <w:tcPr>
            <w:tcW w:w="468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tcPr>
          <w:p>
            <w:r>
              <w:t>-</w:t>
            </w:r>
          </w:p>
        </w:tc>
        <w:tc>
          <w:tcPr>
            <w:tcW w:w="549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tcPr>
          <w:p>
            <w:r>
              <w:t> - vorbelegt für Verfügbarkeitsberechnung -</w:t>
            </w:r>
          </w:p>
        </w:tc>
      </w:tr>
      <w:tr>
        <w:tblPrEx>
          <w:tblW w:w="5000" w:type="pct"/>
          <w:jc w:val="center"/>
        </w:tblPrEx>
        <w:trPr>
          <w:divId w:val="266"/>
          <w:trHeight w:val="285"/>
          <w:jc w:val="center"/>
        </w:trPr>
        <w:tc>
          <w:tcPr>
            <w:tcW w:w="64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tcPr>
          <w:p>
            <w:r>
              <w:t>A02</w:t>
            </w:r>
          </w:p>
        </w:tc>
        <w:tc>
          <w:tcPr>
            <w:tcW w:w="468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tcPr>
          <w:p>
            <w:r>
              <w:t>/.well-known/</w:t>
            </w:r>
          </w:p>
        </w:tc>
        <w:tc>
          <w:tcPr>
            <w:tcW w:w="549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tcPr>
          <w:p>
            <w:r>
              <w:t>Abruf gültiger Autorisierungsserver</w:t>
            </w:r>
          </w:p>
        </w:tc>
      </w:tr>
      <w:tr>
        <w:tblPrEx>
          <w:tblW w:w="5000" w:type="pct"/>
          <w:jc w:val="center"/>
        </w:tblPrEx>
        <w:trPr>
          <w:divId w:val="266"/>
          <w:trHeight w:val="285"/>
          <w:jc w:val="center"/>
        </w:trPr>
        <w:tc>
          <w:tcPr>
            <w:tcW w:w="64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tcPr>
          <w:p>
            <w:r>
              <w:t>A03</w:t>
            </w:r>
          </w:p>
        </w:tc>
        <w:tc>
          <w:tcPr>
            <w:tcW w:w="468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tcPr>
          <w:p>
            <w:r>
              <w:t>GET /nonce/</w:t>
            </w:r>
          </w:p>
        </w:tc>
        <w:tc>
          <w:tcPr>
            <w:tcW w:w="549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tcPr>
          <w:p>
            <w:r>
              <w:t>Nonce abrufen</w:t>
            </w:r>
          </w:p>
        </w:tc>
      </w:tr>
      <w:tr>
        <w:tblPrEx>
          <w:tblW w:w="5000" w:type="pct"/>
          <w:jc w:val="center"/>
        </w:tblPrEx>
        <w:trPr>
          <w:divId w:val="266"/>
          <w:trHeight w:val="285"/>
          <w:jc w:val="center"/>
        </w:trPr>
        <w:tc>
          <w:tcPr>
            <w:tcW w:w="64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tcPr>
          <w:p>
            <w:r>
              <w:t>A04</w:t>
            </w:r>
          </w:p>
        </w:tc>
        <w:tc>
          <w:tcPr>
            <w:tcW w:w="468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tcPr>
          <w:p>
            <w:r>
              <w:t>POST /token &lt;JWT Client Assert&gt;</w:t>
            </w:r>
          </w:p>
        </w:tc>
        <w:tc>
          <w:tcPr>
            <w:tcW w:w="549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tcPr>
          <w:p>
            <w:r>
              <w:t>Autorisierung ohne Refresh Token</w:t>
            </w:r>
          </w:p>
        </w:tc>
      </w:tr>
      <w:tr>
        <w:tblPrEx>
          <w:tblW w:w="5000" w:type="pct"/>
          <w:jc w:val="center"/>
        </w:tblPrEx>
        <w:trPr>
          <w:divId w:val="266"/>
          <w:trHeight w:val="285"/>
          <w:jc w:val="center"/>
        </w:trPr>
        <w:tc>
          <w:tcPr>
            <w:tcW w:w="64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tcPr>
          <w:p>
            <w:r>
              <w:t>A05</w:t>
            </w:r>
          </w:p>
        </w:tc>
        <w:tc>
          <w:tcPr>
            <w:tcW w:w="468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tcPr>
          <w:p>
            <w:r>
              <w:t>POST /token &lt;Refresh Token&gt;</w:t>
            </w:r>
          </w:p>
        </w:tc>
        <w:tc>
          <w:tcPr>
            <w:tcW w:w="549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tcPr>
          <w:p>
            <w:r>
              <w:t>Autorisierung mit Refresh Token</w:t>
            </w:r>
          </w:p>
        </w:tc>
      </w:tr>
    </w:tbl>
    <w:p>
      <w:pPr>
        <w:divId w:val="267"/>
      </w:pPr>
      <w:r>
        <w:t>​​</w:t>
      </w:r>
    </w:p>
    <w:p>
      <w:pPr>
        <w:divId w:val="268"/>
      </w:pPr>
      <w:r>
        <w:t>Zusätzlich werden mittels zentralen Komponenten weitere Endpunkte zur Verfügung gestellt (PIP/PAP), welche von den Zero-Trust Komponenten abgefragt werden, um beispielsweise aktualisierte Policy-Informationen abzuholen. Folgende Endpunkte werden nachfolgend definiert.</w:t>
      </w:r>
    </w:p>
    <w:p>
      <w:pPr>
        <w:pStyle w:val="Caption"/>
        <w:keepNext/>
        <w:jc w:val="left"/>
      </w:pPr>
      <w:r>
        <w:t xml:space="preserve">Table </w:t>
      </w:r>
      <w:r>
        <w:fldChar w:fldCharType="begin"/>
      </w:r>
      <w:r>
        <w:instrText xml:space="preserve"> SEQ Table \* ARABIC </w:instrText>
      </w:r>
      <w:r>
        <w:fldChar w:fldCharType="separate"/>
      </w:r>
      <w:r>
        <w:t>2</w:t>
      </w:r>
      <w:r>
        <w:fldChar w:fldCharType="end"/>
      </w:r>
      <w:r>
        <w:t xml:space="preserve"> Tab_gemF_Zero-Trust_Schnittstellendefinition_PIPPAP</w:t>
      </w:r>
    </w:p>
    <w:tbl>
      <w:tblPr>
        <w:tblStyle w:val="PolarionTableNormal"/>
        <w:tblW w:w="5000" w:type="pct"/>
        <w:jc w:val="center"/>
        <w:tblBorders>
          <w:top w:val="single" w:sz="8" w:space="0" w:color="CCCCCC"/>
          <w:left w:val="single" w:sz="8" w:space="0" w:color="CCCCCC"/>
          <w:bottom w:val="single" w:sz="8" w:space="0" w:color="CCCCCC"/>
          <w:right w:val="single" w:sz="8" w:space="0" w:color="CCCCCC"/>
        </w:tblBorders>
      </w:tblPr>
      <w:tblGrid>
        <w:gridCol w:w="582"/>
        <w:gridCol w:w="4304"/>
        <w:gridCol w:w="4334"/>
      </w:tblGrid>
      <w:tr>
        <w:tblPrEx>
          <w:tblW w:w="5000" w:type="pct"/>
          <w:jc w:val="center"/>
          <w:tblBorders>
            <w:top w:val="single" w:sz="8" w:space="0" w:color="CCCCCC"/>
            <w:left w:val="single" w:sz="8" w:space="0" w:color="CCCCCC"/>
            <w:bottom w:val="single" w:sz="8" w:space="0" w:color="CCCCCC"/>
            <w:right w:val="single" w:sz="8" w:space="0" w:color="CCCCCC"/>
          </w:tblBorders>
        </w:tblPrEx>
        <w:trPr>
          <w:divId w:val="269"/>
          <w:trHeight w:val="240"/>
          <w:jc w:val="center"/>
        </w:trPr>
        <w:tc>
          <w:tcPr>
            <w:tcW w:w="645"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sz w:val="20"/>
                <w:szCs w:val="20"/>
              </w:rPr>
              <w:t>A-ID</w:t>
            </w:r>
          </w:p>
        </w:tc>
        <w:tc>
          <w:tcPr>
            <w:tcW w:w="4680"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rPr>
                <w:sz w:val="20"/>
                <w:szCs w:val="20"/>
              </w:rPr>
              <w:t>Schnittstellen::Operation / Anwendungsfall</w:t>
            </w:r>
          </w:p>
        </w:tc>
        <w:tc>
          <w:tcPr>
            <w:tcW w:w="5490" w:type="dxa"/>
            <w:tcBorders>
              <w:top w:val="single" w:sz="8" w:space="0" w:color="CCCCCC"/>
              <w:left w:val="single" w:sz="8" w:space="0" w:color="CCCCCC"/>
              <w:bottom w:val="single" w:sz="8" w:space="0" w:color="CCCCCC"/>
              <w:right w:val="single" w:sz="8" w:space="0" w:color="CCCCCC"/>
            </w:tcBorders>
            <w:shd w:val="clear" w:color="auto" w:fill="F0F0F0"/>
            <w:tcMar>
              <w:top w:w="75" w:type="dxa"/>
              <w:left w:w="75" w:type="dxa"/>
              <w:bottom w:w="75" w:type="dxa"/>
              <w:right w:w="75" w:type="dxa"/>
            </w:tcMar>
            <w:vAlign w:val="top"/>
          </w:tcPr>
          <w:p>
            <w:pPr>
              <w:jc w:val="left"/>
            </w:pPr>
            <w:r>
              <w:t>Beschreibung</w:t>
            </w:r>
          </w:p>
        </w:tc>
      </w:tr>
      <w:tr>
        <w:tblPrEx>
          <w:tblW w:w="5000" w:type="pct"/>
          <w:jc w:val="center"/>
        </w:tblPrEx>
        <w:trPr>
          <w:divId w:val="269"/>
          <w:trHeight w:val="285"/>
          <w:jc w:val="center"/>
        </w:trPr>
        <w:tc>
          <w:tcPr>
            <w:tcW w:w="64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tcPr>
          <w:p>
            <w:r>
              <w:t>A01</w:t>
            </w:r>
          </w:p>
        </w:tc>
        <w:tc>
          <w:tcPr>
            <w:tcW w:w="468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tcPr>
          <w:p>
            <w:r>
              <w:t>-</w:t>
            </w:r>
          </w:p>
        </w:tc>
        <w:tc>
          <w:tcPr>
            <w:tcW w:w="549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tcPr>
          <w:p>
            <w:r>
              <w:t> - vorbelegt für Verfügbarkeitsberechnung -</w:t>
            </w:r>
          </w:p>
        </w:tc>
      </w:tr>
      <w:tr>
        <w:tblPrEx>
          <w:tblW w:w="5000" w:type="pct"/>
          <w:jc w:val="center"/>
        </w:tblPrEx>
        <w:trPr>
          <w:divId w:val="269"/>
          <w:trHeight w:val="285"/>
          <w:jc w:val="center"/>
        </w:trPr>
        <w:tc>
          <w:tcPr>
            <w:tcW w:w="645"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tcPr>
          <w:p>
            <w:r>
              <w:t>A02</w:t>
            </w:r>
          </w:p>
        </w:tc>
        <w:tc>
          <w:tcPr>
            <w:tcW w:w="468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tcPr>
          <w:p>
            <w:r>
              <w:t>GET /policies/{application}/{label}</w:t>
            </w:r>
          </w:p>
        </w:tc>
        <w:tc>
          <w:tcPr>
            <w:tcW w:w="5490" w:type="dxa"/>
            <w:tcBorders>
              <w:top w:val="single" w:sz="8" w:space="0" w:color="CCCCCC"/>
              <w:left w:val="single" w:sz="8" w:space="0" w:color="CCCCCC"/>
              <w:bottom w:val="single" w:sz="8" w:space="0" w:color="CCCCCC"/>
              <w:right w:val="single" w:sz="8" w:space="0" w:color="CCCCCC"/>
            </w:tcBorders>
            <w:tcMar>
              <w:top w:w="75" w:type="dxa"/>
              <w:left w:w="75" w:type="dxa"/>
              <w:bottom w:w="75" w:type="dxa"/>
              <w:right w:w="75" w:type="dxa"/>
            </w:tcMar>
          </w:tcPr>
          <w:p>
            <w:r>
              <w:t>Abruf der Policy eines Dienstes</w:t>
            </w:r>
          </w:p>
        </w:tc>
      </w:tr>
    </w:tbl>
    <w:p>
      <w:pPr>
        <w:divId w:val="270"/>
      </w:pPr>
      <w:r>
        <w:t>​​</w:t>
      </w:r>
    </w:p>
    <w:p>
      <w:pPr>
        <w:divId w:val="271"/>
      </w:pPr>
      <w:r>
        <w:t>Beim Erfassen der Daten des Funktionsaufrufs GET /policies/{application}/{label} muss der PIP/PAP-Dienst die Werte für {application} und {label} zusätzlich mit erfassen. Die Systematik zur Betriebsdatenerfassung wird zu einem späteren Zeitpunkt konkret festgelegt, orientiert sich aber an den Festlegungen zur Betriebsdatenerfassung Version 2 der [gemSpec_Perf].</w:t>
      </w:r>
    </w:p>
    <w:p>
      <w:pPr>
        <w:pStyle w:val="Heading2"/>
        <w:divId w:val="272"/>
      </w:pPr>
      <w:bookmarkStart w:id="146" w:name="_Toc256000069"/>
      <w:r>
        <w:t>Anforderungen an den Test der Zero-Trust Komponenten</w:t>
      </w:r>
      <w:bookmarkEnd w:id="146"/>
    </w:p>
    <w:p>
      <w:pPr>
        <w:divId w:val="273"/>
      </w:pPr>
      <w:r>
        <w:t>Durch einen Shift-Left-Ansatz werden Testmaßnahmen von Anfang an für alle spezifizierten Komponenten und Dienste in der Produktentwicklung verankert. Hierbei arbeiten alle Beteiligten eng zusammen und machen Ihre Testmaßnahmen transparent.</w:t>
      </w:r>
    </w:p>
    <w:p>
      <w:pPr>
        <w:divId w:val="274"/>
      </w:pPr>
      <w:r>
        <w:t xml:space="preserve">Es wird angestrebt, so früh wie möglich durch PoCs und Durchstichtests die Umsetzbarkeit der Spezifikationen und die Anwendungsszenarien der Nutzer nachzuweisen. </w:t>
      </w:r>
      <w:r>
        <w:commentReference w:id="147"/>
      </w:r>
      <w:r>
        <w:commentReference w:id="148"/>
      </w:r>
    </w:p>
    <w:p>
      <w:pPr>
        <w:pStyle w:val="Heading3"/>
        <w:divId w:val="275"/>
      </w:pPr>
      <w:bookmarkStart w:id="149" w:name="_Toc256000070"/>
      <w:r>
        <w:t>Testartefakte</w:t>
      </w:r>
      <w:bookmarkEnd w:id="149"/>
    </w:p>
    <w:p>
      <w:pPr>
        <w:spacing w:before="0" w:after="0"/>
      </w:pPr>
      <w:r>
        <w:rPr>
          <w:vanish/>
        </w:rPr>
        <w:t>Mainline_OPB1/ML-156125</w:t>
      </w:r>
      <w:r>
        <w:rPr>
          <w:b/>
        </w:rPr>
        <w:t>A_26081</w:t>
      </w:r>
      <w:r>
        <w:rPr>
          <w:b/>
        </w:rPr>
        <w:t xml:space="preserve"> - </w:t>
      </w:r>
      <w:r>
        <w:rPr>
          <w:b/>
        </w:rPr>
        <w:t>Format von Testszenarien</w:t>
      </w:r>
    </w:p>
    <w:p>
      <w:r>
        <w:t>Der Hersteller der Zero Trust Komponenten MUSS alle für den funktionalen Test benötigten Testszenarien und Testfälle </w:t>
      </w:r>
      <w:r>
        <w:rPr>
          <w:sz w:val="20"/>
          <w:szCs w:val="20"/>
        </w:rPr>
        <w:t xml:space="preserve">nach den BDD-Prinzip erstellen </w:t>
      </w:r>
      <w:r>
        <w:rPr>
          <w:sz w:val="20"/>
          <w:szCs w:val="20"/>
        </w:rPr>
        <w:commentReference w:id="150"/>
      </w:r>
      <w:r>
        <w:rPr>
          <w:sz w:val="20"/>
          <w:szCs w:val="20"/>
        </w:rPr>
        <w:commentReference w:id="151"/>
      </w:r>
      <w:r>
        <w:rPr>
          <w:sz w:val="20"/>
          <w:szCs w:val="20"/>
        </w:rPr>
        <w:t xml:space="preserve">. </w:t>
      </w:r>
      <w:r>
        <w:rPr>
          <w:sz w:val="20"/>
          <w:szCs w:val="20"/>
        </w:rPr>
        <w:commentReference w:id="152"/>
      </w:r>
      <w:r>
        <w:rPr>
          <w:sz w:val="20"/>
          <w:szCs w:val="20"/>
        </w:rPr>
        <w:commentReference w:id="153"/>
      </w:r>
      <w:r>
        <w:rPr>
          <w:b/>
        </w:rPr>
        <w:t>[</w:t>
      </w:r>
      <w:r>
        <w:t>&lt;=</w:t>
      </w:r>
      <w:r>
        <w:rPr>
          <w:b/>
        </w:rPr>
        <w:t>]</w:t>
      </w:r>
    </w:p>
    <w:p>
      <w:pPr>
        <w:divId w:val="276"/>
      </w:pPr>
      <w:r>
        <w:rPr>
          <w:i/>
        </w:rPr>
        <w:t>Hinweis: Eine genaue Definition zum Format der Testszenarien und Testfälle erfolgt später in Abstimmung mit dem Hersteller.</w:t>
      </w:r>
    </w:p>
    <w:p>
      <w:pPr>
        <w:spacing w:before="0" w:after="0"/>
      </w:pPr>
      <w:r>
        <w:rPr>
          <w:vanish/>
        </w:rPr>
        <w:t>Mainline_OPB1/ML-156129</w:t>
      </w:r>
      <w:r>
        <w:rPr>
          <w:b/>
        </w:rPr>
        <w:t>A_26083</w:t>
      </w:r>
      <w:r>
        <w:rPr>
          <w:b/>
        </w:rPr>
        <w:t xml:space="preserve"> - </w:t>
      </w:r>
      <w:r>
        <w:rPr>
          <w:b/>
        </w:rPr>
        <w:t>Effiziente Entwicklung  von Testartefakten</w:t>
      </w:r>
    </w:p>
    <w:p>
      <w:r>
        <w:t xml:space="preserve">Der Hersteller der Zero Trust Komponenten MUSS alle für den Test und funktionsfähige Testumgebungen benötigten Testartefakte (z.B. Testsuiten, Testfälle mit Testszenarien, Testdaten, Mocks und Simulatoren) entwickeln. </w:t>
      </w:r>
      <w:r>
        <w:commentReference w:id="154"/>
      </w:r>
      <w:r>
        <w:commentReference w:id="155"/>
      </w:r>
      <w:r>
        <w:commentReference w:id="156"/>
      </w:r>
      <w:r>
        <w:commentReference w:id="157"/>
      </w:r>
      <w:r>
        <w:rPr>
          <w:b/>
        </w:rPr>
        <w:t>[</w:t>
      </w:r>
      <w:r>
        <w:t>&lt;=</w:t>
      </w:r>
      <w:r>
        <w:rPr>
          <w:b/>
        </w:rPr>
        <w:t>]</w:t>
      </w:r>
    </w:p>
    <w:p>
      <w:pPr>
        <w:divId w:val="277"/>
      </w:pPr>
      <w:r>
        <w:rPr>
          <w:i/>
        </w:rPr>
        <w:t>Hinweis: Eine genaue Definition der benötigten Testartefakte erfolgt später in Abstimmung mit dem Hersteller.</w:t>
      </w:r>
    </w:p>
    <w:p>
      <w:pPr>
        <w:spacing w:before="0" w:after="0"/>
      </w:pPr>
      <w:r>
        <w:rPr>
          <w:vanish/>
        </w:rPr>
        <w:t>Mainline_OPB1/ML-156137</w:t>
      </w:r>
      <w:r>
        <w:rPr>
          <w:b/>
        </w:rPr>
        <w:t>A_26089</w:t>
      </w:r>
      <w:r>
        <w:rPr>
          <w:b/>
        </w:rPr>
        <w:t xml:space="preserve"> - </w:t>
      </w:r>
      <w:r>
        <w:rPr>
          <w:b/>
        </w:rPr>
        <w:t>Automatisierung von Testartefakten</w:t>
      </w:r>
    </w:p>
    <w:p>
      <w:r>
        <w:t xml:space="preserve">Der Hersteller der Zero Trust Komponenten MUSS  </w:t>
      </w:r>
      <w:r>
        <w:t xml:space="preserve">alle Testartefakte so entwickeln und bereitstellen, dass sie, soweit möglich,  eine automatisierte Testausführung ermöglichen. </w:t>
      </w:r>
      <w:r>
        <w:commentReference w:id="158"/>
      </w:r>
      <w:r>
        <w:commentReference w:id="159"/>
      </w:r>
      <w:r>
        <w:rPr>
          <w:b/>
        </w:rPr>
        <w:t>[</w:t>
      </w:r>
      <w:r>
        <w:t>&lt;=</w:t>
      </w:r>
      <w:r>
        <w:rPr>
          <w:b/>
        </w:rPr>
        <w:t>]</w:t>
      </w:r>
    </w:p>
    <w:p>
      <w:pPr>
        <w:spacing w:before="0" w:after="0"/>
      </w:pPr>
      <w:r>
        <w:rPr>
          <w:vanish/>
        </w:rPr>
        <w:t>Mainline_OPB1/ML-156130</w:t>
      </w:r>
      <w:r>
        <w:rPr>
          <w:b/>
        </w:rPr>
        <w:t>A_26084</w:t>
      </w:r>
      <w:r>
        <w:rPr>
          <w:b/>
        </w:rPr>
        <w:t xml:space="preserve"> - </w:t>
      </w:r>
      <w:r>
        <w:rPr>
          <w:b/>
        </w:rPr>
        <w:t>Freie Nutzung und Weiterentwicklung von Testartefakten</w:t>
      </w:r>
    </w:p>
    <w:p>
      <w:r>
        <w:t xml:space="preserve">Der Hersteller der Zero Trust Komponenten MUSS die entwickelten Testartefakte </w:t>
      </w:r>
      <w:r>
        <w:commentReference w:id="160"/>
      </w:r>
      <w:r>
        <w:commentReference w:id="161"/>
      </w:r>
      <w:r>
        <w:t xml:space="preserve"> kosten- und lizenzfrei </w:t>
      </w:r>
      <w:r>
        <w:commentReference w:id="162"/>
      </w:r>
      <w:r>
        <w:commentReference w:id="163"/>
      </w:r>
      <w:r>
        <w:t xml:space="preserve"> zur Nutzung und Weiterentwicklung zur Verfügung stellen.</w:t>
      </w:r>
      <w:r>
        <w:rPr>
          <w:b/>
        </w:rPr>
        <w:t>[</w:t>
      </w:r>
      <w:r>
        <w:t>&lt;=</w:t>
      </w:r>
      <w:r>
        <w:rPr>
          <w:b/>
        </w:rPr>
        <w:t>]</w:t>
      </w:r>
    </w:p>
    <w:p>
      <w:pPr>
        <w:spacing w:before="0" w:after="0"/>
      </w:pPr>
      <w:r>
        <w:rPr>
          <w:vanish/>
        </w:rPr>
        <w:t>Mainline_OPB1/ML-156131</w:t>
      </w:r>
      <w:r>
        <w:rPr>
          <w:b/>
        </w:rPr>
        <w:t>A_26085</w:t>
      </w:r>
      <w:r>
        <w:rPr>
          <w:b/>
        </w:rPr>
        <w:t xml:space="preserve"> - </w:t>
      </w:r>
      <w:r>
        <w:rPr>
          <w:b/>
        </w:rPr>
        <w:t>Support für Testartefakte</w:t>
      </w:r>
    </w:p>
    <w:p>
      <w:r>
        <w:t xml:space="preserve">Der Hersteller der Zero Trust Komponenten MUSS einen Support für die von ihm entwickelten Testartefakte anbieten. </w:t>
      </w:r>
      <w:r>
        <w:commentReference w:id="164"/>
      </w:r>
      <w:r>
        <w:commentReference w:id="165"/>
      </w:r>
      <w:r>
        <w:commentReference w:id="166"/>
      </w:r>
      <w:r>
        <w:commentReference w:id="167"/>
      </w:r>
      <w:r>
        <w:rPr>
          <w:b/>
        </w:rPr>
        <w:t>[</w:t>
      </w:r>
      <w:r>
        <w:t>&lt;=</w:t>
      </w:r>
      <w:r>
        <w:rPr>
          <w:b/>
        </w:rPr>
        <w:t>]</w:t>
      </w:r>
    </w:p>
    <w:p>
      <w:pPr>
        <w:divId w:val="278"/>
      </w:pPr>
      <w:r>
        <w:rPr>
          <w:i/>
        </w:rPr>
        <w:t>Hinweis: Eine genaue Definition von Art und Umfang des zu leistenden Support erfolgt später in Abstimmung mit dem Hersteller.</w:t>
      </w:r>
    </w:p>
    <w:p>
      <w:pPr>
        <w:pStyle w:val="Heading3"/>
        <w:divId w:val="279"/>
      </w:pPr>
      <w:bookmarkStart w:id="168" w:name="_Toc256000071"/>
      <w:r>
        <w:t>Testtreiberschnittstelle und Testunterstützung</w:t>
      </w:r>
      <w:bookmarkEnd w:id="168"/>
    </w:p>
    <w:p>
      <w:pPr>
        <w:divId w:val="280"/>
      </w:pPr>
      <w:r>
        <w:t xml:space="preserve">Die hier spezifizierten Komponenten und Dienste dienen der Absicherung von Produkttypen einer Fachanwendung. Da sie elementare Sicherheitsfunktionen umsetzen, stehen sie ggf. einer Implementierung </w:t>
      </w:r>
      <w:r>
        <w:t xml:space="preserve"> und Testung der zu schützenden Fachlichkeit in </w:t>
      </w:r>
      <w:r>
        <w:rPr>
          <w:b/>
        </w:rPr>
        <w:t>nicht</w:t>
      </w:r>
      <w:r>
        <w:t xml:space="preserve">-produktiven Umgebungen im Wege. Daher ist es sinnvoll, in den entsprechenden Zero Trust-Komponenten eine Testtreiber-Schnittstelle bzw. einen Testmodus zu implementieren, der die Umgehung der Sicherheitsmechanismen unter bestimmten Rahmenbedingungen (z. B. Routing in ein Testsystem, wenn Testpolicy aktiv etc.) ermöglicht. </w:t>
      </w:r>
      <w:r>
        <w:commentReference w:id="169"/>
      </w:r>
      <w:r>
        <w:commentReference w:id="170"/>
      </w:r>
    </w:p>
    <w:p>
      <w:pPr>
        <w:spacing w:before="0" w:after="0"/>
      </w:pPr>
      <w:r>
        <w:rPr>
          <w:vanish/>
        </w:rPr>
        <w:t>Mainline_OPB1/ML-156134</w:t>
      </w:r>
      <w:r>
        <w:rPr>
          <w:b/>
        </w:rPr>
        <w:t>A_26086</w:t>
      </w:r>
      <w:r>
        <w:rPr>
          <w:b/>
        </w:rPr>
        <w:t xml:space="preserve"> - </w:t>
      </w:r>
      <w:r>
        <w:rPr>
          <w:b/>
        </w:rPr>
        <w:t>Bereitstellen einer Testtreiberschnittstelle</w:t>
      </w:r>
    </w:p>
    <w:p>
      <w:r>
        <w:t xml:space="preserve">Der Hersteller der Zero Trust Komponenten MUSS in jeder Komponente </w:t>
      </w:r>
      <w:r>
        <w:commentReference w:id="171"/>
      </w:r>
      <w:r>
        <w:commentReference w:id="172"/>
      </w:r>
      <w:r>
        <w:t xml:space="preserve"> eine Testtreiberschnittstelle bereitstellen, die den automatisierten Nachweis aller funktionalen Anforderungen an die jeweilige Komponente in einem Blackbox-Test, d.h. einem Test an den Außenschnittstellen, ermöglicht, die sonst über die normale API der Komponente nicht oder nur mit einem erhöhten Aufwand testbar wäre. </w:t>
      </w:r>
      <w:r>
        <w:commentReference w:id="173"/>
      </w:r>
      <w:r>
        <w:commentReference w:id="174"/>
      </w:r>
      <w:r>
        <w:commentReference w:id="175"/>
      </w:r>
      <w:r>
        <w:rPr>
          <w:b/>
        </w:rPr>
        <w:t>[</w:t>
      </w:r>
      <w:r>
        <w:t>&lt;=</w:t>
      </w:r>
      <w:r>
        <w:rPr>
          <w:b/>
        </w:rPr>
        <w:t>]</w:t>
      </w:r>
    </w:p>
    <w:p>
      <w:pPr>
        <w:divId w:val="281"/>
      </w:pPr>
      <w:r>
        <w:rPr>
          <w:i/>
        </w:rPr>
        <w:t>Hinweis: Eine genaue Abstimmung zu Art und Umfang der Testtreiberschnittstelle in den jeweiligen Komponenten erfolgt später in Abstimmung mit dem Hersteller.</w:t>
      </w:r>
    </w:p>
    <w:p>
      <w:pPr>
        <w:spacing w:before="0" w:after="0"/>
      </w:pPr>
      <w:r>
        <w:rPr>
          <w:vanish/>
        </w:rPr>
        <w:t>Mainline_OPB1/ML-156135</w:t>
      </w:r>
      <w:r>
        <w:rPr>
          <w:b/>
        </w:rPr>
        <w:t>A_26087</w:t>
      </w:r>
      <w:r>
        <w:rPr>
          <w:b/>
        </w:rPr>
        <w:t xml:space="preserve"> - </w:t>
      </w:r>
      <w:r>
        <w:rPr>
          <w:b/>
        </w:rPr>
        <w:t>Keine Testtreiberschnittstelle in produktiv einsetzbaren Komponenten</w:t>
      </w:r>
    </w:p>
    <w:p>
      <w:r>
        <w:t xml:space="preserve">Der Hersteller der Zero Trust Komponenten MUSS sicherstellen, dass die Testtreiberschnittstelle in produktiv einsetzbaren Komponenten nicht enthalten ist. </w:t>
      </w:r>
      <w:r>
        <w:commentReference w:id="176"/>
      </w:r>
      <w:r>
        <w:rPr>
          <w:b/>
        </w:rPr>
        <w:t>[</w:t>
      </w:r>
      <w:r>
        <w:t>&lt;=</w:t>
      </w:r>
      <w:r>
        <w:rPr>
          <w:b/>
        </w:rPr>
        <w:t>]</w:t>
      </w:r>
    </w:p>
    <w:p>
      <w:pPr>
        <w:spacing w:before="0" w:after="0"/>
      </w:pPr>
      <w:r>
        <w:rPr>
          <w:vanish/>
        </w:rPr>
        <w:t>Mainline_OPB1/ML-156136</w:t>
      </w:r>
      <w:r>
        <w:rPr>
          <w:b/>
        </w:rPr>
        <w:t>A_26088</w:t>
      </w:r>
      <w:r>
        <w:rPr>
          <w:b/>
        </w:rPr>
        <w:t xml:space="preserve"> - </w:t>
      </w:r>
      <w:r>
        <w:rPr>
          <w:b/>
        </w:rPr>
        <w:t>API und Dokumentation der Testtreiberschnittstelle</w:t>
      </w:r>
    </w:p>
    <w:p>
      <w:r>
        <w:t>Der Hersteller der Zero Trust Komponenten MUSS die API der Testtreiberschnittstelle und ihre Dokumentation frei verfügbar bereitstellen</w:t>
      </w:r>
      <w:r>
        <w:rPr>
          <w:b/>
        </w:rPr>
        <w:t>[</w:t>
      </w:r>
      <w:r>
        <w:t>&lt;=</w:t>
      </w:r>
      <w:r>
        <w:rPr>
          <w:b/>
        </w:rPr>
        <w:t>]</w:t>
      </w:r>
    </w:p>
    <w:p>
      <w:pPr>
        <w:spacing w:before="0" w:after="0"/>
      </w:pPr>
      <w:r>
        <w:rPr>
          <w:vanish/>
        </w:rPr>
        <w:t>Mainline_OPB1/ML-156150</w:t>
      </w:r>
      <w:r>
        <w:rPr>
          <w:b/>
        </w:rPr>
        <w:t>A_26092</w:t>
      </w:r>
      <w:r>
        <w:rPr>
          <w:b/>
        </w:rPr>
        <w:t xml:space="preserve"> - </w:t>
      </w:r>
      <w:r>
        <w:rPr>
          <w:b/>
        </w:rPr>
        <w:t>Keine Hardwareabhängigkeiten bei Komponenten in Testumgebungen</w:t>
      </w:r>
    </w:p>
    <w:p>
      <w:r>
        <w:t>Der Hersteller der Zero Trust Komponenten MUSS seine Komponenten in Testumgebungen so entwickeln und bereitstellen, dass Hardwareabhängigkeiten, z.B. zu einem HSM deaktiviert und durch Simulatoren oder Mocks ersetzt werden können.</w:t>
      </w:r>
      <w:r>
        <w:rPr>
          <w:b/>
        </w:rPr>
        <w:t>[</w:t>
      </w:r>
      <w:r>
        <w:t>&lt;=</w:t>
      </w:r>
      <w:r>
        <w:rPr>
          <w:b/>
        </w:rPr>
        <w:t>]</w:t>
      </w:r>
    </w:p>
    <w:p>
      <w:pPr>
        <w:spacing w:before="0" w:after="0"/>
      </w:pPr>
      <w:r>
        <w:rPr>
          <w:vanish/>
        </w:rPr>
        <w:t>Mainline_OPB1/ML-156151</w:t>
      </w:r>
      <w:r>
        <w:rPr>
          <w:b/>
        </w:rPr>
        <w:t>A_26093</w:t>
      </w:r>
      <w:r>
        <w:rPr>
          <w:b/>
        </w:rPr>
        <w:t xml:space="preserve"> - </w:t>
      </w:r>
      <w:r>
        <w:rPr>
          <w:b/>
        </w:rPr>
        <w:t>Kenntnis der privaten Schlüsseln in Testumgebungen</w:t>
      </w:r>
    </w:p>
    <w:p>
      <w:r>
        <w:t xml:space="preserve">Der Hersteller der Zero Trust Komponenten MUSS in Testumgebungen sicherstellen, dass die verwendeten privaten Schlüssel bekannt sind. Dies kann z.B. durch das Einbringen von bekannten Testschlüsseln als privaten Schlüsseln erfolgen, oder durch das Auslesen der privaten Schlüssel aus dem Schlüsselspeicher. </w:t>
      </w:r>
      <w:r>
        <w:commentReference w:id="177"/>
      </w:r>
      <w:r>
        <w:commentReference w:id="178"/>
      </w:r>
      <w:r>
        <w:rPr>
          <w:b/>
        </w:rPr>
        <w:t>[</w:t>
      </w:r>
      <w:r>
        <w:t>&lt;=</w:t>
      </w:r>
      <w:r>
        <w:rPr>
          <w:b/>
        </w:rPr>
        <w:t>]</w:t>
      </w:r>
    </w:p>
    <w:p>
      <w:pPr>
        <w:spacing w:before="0" w:after="0"/>
      </w:pPr>
      <w:r>
        <w:rPr>
          <w:vanish/>
        </w:rPr>
        <w:t>Mainline_OPB1/ML-156153</w:t>
      </w:r>
      <w:r>
        <w:rPr>
          <w:b/>
        </w:rPr>
        <w:t>A_26094</w:t>
      </w:r>
      <w:r>
        <w:rPr>
          <w:b/>
        </w:rPr>
        <w:t xml:space="preserve"> - </w:t>
      </w:r>
      <w:r>
        <w:rPr>
          <w:b/>
        </w:rPr>
        <w:t>Mitwirken bei übergreifenden Testmaßnahmen</w:t>
      </w:r>
    </w:p>
    <w:p>
      <w:r>
        <w:t xml:space="preserve">Der Hersteller der Zero Trust Komponenten MUSS bei der Vorbereitung und Durchführung von übergreifenden Testmaßnahmen wie z.B. Durchstichtests oder Connectathons </w:t>
      </w:r>
      <w:r>
        <w:commentReference w:id="179"/>
      </w:r>
      <w:r>
        <w:commentReference w:id="180"/>
      </w:r>
      <w:r>
        <w:t xml:space="preserve">mitwirken, z.B. durch Bereitstellung und Konfiguration der benötigten Komponenten und Testumgebungen oder durch Bereitstellen von  Support. </w:t>
      </w:r>
      <w:r>
        <w:commentReference w:id="181"/>
      </w:r>
      <w:r>
        <w:t xml:space="preserve">  </w:t>
      </w:r>
      <w:r>
        <w:rPr>
          <w:b/>
        </w:rPr>
        <w:t>[</w:t>
      </w:r>
      <w:r>
        <w:t>&lt;=</w:t>
      </w:r>
      <w:r>
        <w:rPr>
          <w:b/>
        </w:rPr>
        <w:t>]</w:t>
      </w:r>
    </w:p>
    <w:p>
      <w:pPr>
        <w:pStyle w:val="Heading3"/>
        <w:divId w:val="282"/>
      </w:pPr>
      <w:bookmarkStart w:id="182" w:name="_Toc256000072"/>
      <w:r>
        <w:t>Bereitstellung der Testkomponenten und Testartefakte</w:t>
      </w:r>
      <w:bookmarkEnd w:id="182"/>
    </w:p>
    <w:p>
      <w:pPr>
        <w:divId w:val="283"/>
      </w:pPr>
      <w:r>
        <w:t>Die hier spezifizierten Komponenten und Dienste haben keinen Selbstzweck, sondern kommen in der Realisierung von Produkttypen einer Fachanwendung zum Einsatz. Sie werden "as Code" bereitgestellt, und in Build-Pipelines der Komponenten und Produkttypen der Fachanwendung eingebettet. Weiterhin soll die Testausführung automatisiert werden. Dadurch wird ein automatisches und regelmäßiges Deployment in Testumgebungen im Sinne eines Continuous Testings ermöglicht.</w:t>
      </w:r>
    </w:p>
    <w:p>
      <w:pPr>
        <w:spacing w:before="0" w:after="0"/>
      </w:pPr>
      <w:r>
        <w:rPr>
          <w:vanish/>
        </w:rPr>
        <w:t>Mainline_OPB1/ML-156157</w:t>
      </w:r>
      <w:r>
        <w:rPr>
          <w:b/>
        </w:rPr>
        <w:t>A_26096</w:t>
      </w:r>
      <w:r>
        <w:rPr>
          <w:b/>
        </w:rPr>
        <w:t xml:space="preserve"> - </w:t>
      </w:r>
      <w:r>
        <w:rPr>
          <w:b/>
        </w:rPr>
        <w:t>Bereitstellung von Testkomponenten und Testartefakten</w:t>
      </w:r>
    </w:p>
    <w:p>
      <w:r>
        <w:t xml:space="preserve">Der Hersteller von Zero Trust Komponenten MUSS Testkomponenten </w:t>
      </w:r>
      <w:r>
        <w:commentReference w:id="183"/>
      </w:r>
      <w:r>
        <w:t xml:space="preserve"> und Testartefakte als signierte Artefakte (wie z.B. ein Container-Image) bereitstellen. </w:t>
      </w:r>
      <w:r>
        <w:commentReference w:id="184"/>
      </w:r>
      <w:r>
        <w:rPr>
          <w:b/>
        </w:rPr>
        <w:t>[</w:t>
      </w:r>
      <w:r>
        <w:t>&lt;=</w:t>
      </w:r>
      <w:r>
        <w:rPr>
          <w:b/>
        </w:rPr>
        <w:t>]</w:t>
      </w:r>
    </w:p>
    <w:p>
      <w:pPr>
        <w:divId w:val="284"/>
      </w:pPr>
      <w:r>
        <w:rPr>
          <w:i/>
        </w:rPr>
        <w:t>Hinweis: Eine genaue Definition zum Format der signierten Artefakte erfolgt später in Abstimmung mit dem Hersteller.</w:t>
      </w:r>
    </w:p>
    <w:p>
      <w:pPr>
        <w:spacing w:before="0" w:after="0"/>
      </w:pPr>
      <w:r>
        <w:rPr>
          <w:vanish/>
        </w:rPr>
        <w:t>Mainline_OPB1/ML-156158</w:t>
      </w:r>
      <w:r>
        <w:rPr>
          <w:b/>
        </w:rPr>
        <w:t>A_26097</w:t>
      </w:r>
      <w:r>
        <w:rPr>
          <w:b/>
        </w:rPr>
        <w:t xml:space="preserve"> - </w:t>
      </w:r>
      <w:r>
        <w:rPr>
          <w:b/>
        </w:rPr>
        <w:t>Verwendbarkeit von Testkomponenten und Testartefakten in automatisierten CI/CD-Pipelines</w:t>
      </w:r>
    </w:p>
    <w:p>
      <w:r>
        <w:t>Der Hersteller von Zero Trust Komponenten MUSS Testkomponenten und Testartefakte so entwickeln und bereitstellen, dass sie in automatisierten CI/CD-Pipelines verwendet werden können. </w:t>
      </w:r>
      <w:r>
        <w:rPr>
          <w:b/>
        </w:rPr>
        <w:t>[</w:t>
      </w:r>
      <w:r>
        <w:t>&lt;=</w:t>
      </w:r>
      <w:r>
        <w:rPr>
          <w:b/>
        </w:rPr>
        <w:t>]</w:t>
      </w:r>
    </w:p>
    <w:p>
      <w:pPr>
        <w:spacing w:before="0" w:after="0"/>
      </w:pPr>
      <w:r>
        <w:rPr>
          <w:vanish/>
        </w:rPr>
        <w:t>Mainline_OPB1/ML-156159</w:t>
      </w:r>
      <w:r>
        <w:rPr>
          <w:b/>
        </w:rPr>
        <w:t>A_26098</w:t>
      </w:r>
      <w:r>
        <w:rPr>
          <w:b/>
        </w:rPr>
        <w:t xml:space="preserve"> - </w:t>
      </w:r>
      <w:r>
        <w:rPr>
          <w:b/>
        </w:rPr>
        <w:t>Konfigurierbarkeit von Testkomponenten und Testartefakten</w:t>
      </w:r>
    </w:p>
    <w:p>
      <w:r>
        <w:t xml:space="preserve">Der Hersteller von Zero Trust Komponenten MUSS Testkomponenten und Testartefakte so konfigurierbar entwickeln und bereitstellen, dass diese in allen benötigten </w:t>
      </w:r>
      <w:r>
        <w:commentReference w:id="185"/>
      </w:r>
      <w:r>
        <w:t xml:space="preserve"> Testumgebungen eingesetzt werden können. </w:t>
      </w:r>
      <w:r>
        <w:commentReference w:id="186"/>
      </w:r>
      <w:r>
        <w:rPr>
          <w:b/>
        </w:rPr>
        <w:t>[</w:t>
      </w:r>
      <w:r>
        <w:t>&lt;=</w:t>
      </w:r>
      <w:r>
        <w:rPr>
          <w:b/>
        </w:rPr>
        <w:t>]</w:t>
      </w:r>
    </w:p>
    <w:p>
      <w:pPr>
        <w:divId w:val="285"/>
      </w:pPr>
      <w:r>
        <w:rPr>
          <w:i/>
        </w:rPr>
        <w:t>Hinweis: Eine genaue Definition aller benötigten Testumgebungen erfolgt später in Abstimmung mit dem Hersteller.</w:t>
      </w:r>
    </w:p>
    <w:p>
      <w:pPr>
        <w:pStyle w:val="Heading3"/>
        <w:divId w:val="286"/>
      </w:pPr>
      <w:bookmarkStart w:id="187" w:name="_Toc256000073"/>
      <w:r>
        <w:t>Testumgebungen und Quality Gates</w:t>
      </w:r>
      <w:bookmarkEnd w:id="187"/>
    </w:p>
    <w:p>
      <w:pPr>
        <w:divId w:val="287"/>
      </w:pPr>
      <w:r>
        <w:t xml:space="preserve">Um die Qualität einer Zero Trust Komponente zu messen, muss diese in verschiedenen Testumgebungen (z.B. für die Entwicklung, den Produkttest, den Integrationstest) validiert werden </w:t>
      </w:r>
      <w:r>
        <w:commentReference w:id="188"/>
      </w:r>
      <w:r>
        <w:commentReference w:id="189"/>
      </w:r>
      <w:r>
        <w:t xml:space="preserve"> und müssen die für die jeweilige Testumgebung vorgesehenen Quality Gates bestehen. Quality Gates bestehen zum Beispiel im erfolgreichen Durchführen von Testsuiten oder im Erbringen geforderter Nachweise. Dies soll nach Möglichkeit automatisiert erfolgen.</w:t>
      </w:r>
    </w:p>
    <w:p>
      <w:pPr>
        <w:spacing w:before="0" w:after="0"/>
      </w:pPr>
      <w:r>
        <w:rPr>
          <w:vanish/>
        </w:rPr>
        <w:t>Mainline_OPB1/ML-156162</w:t>
      </w:r>
      <w:r>
        <w:rPr>
          <w:b/>
        </w:rPr>
        <w:t>A_26099</w:t>
      </w:r>
      <w:r>
        <w:rPr>
          <w:b/>
        </w:rPr>
        <w:t xml:space="preserve"> - </w:t>
      </w:r>
      <w:r>
        <w:rPr>
          <w:b/>
        </w:rPr>
        <w:t>Bestehen von Quality Gates</w:t>
      </w:r>
    </w:p>
    <w:p>
      <w:r>
        <w:t xml:space="preserve">Der Hersteller von Zero Trust Komponenten MUSS das Quality Gate einer Testumgebung bestehen, wenn für die Testumgebung eines definiert wurde. </w:t>
      </w:r>
      <w:r>
        <w:commentReference w:id="190"/>
      </w:r>
      <w:r>
        <w:commentReference w:id="191"/>
      </w:r>
      <w:r>
        <w:commentReference w:id="192"/>
      </w:r>
      <w:r>
        <w:rPr>
          <w:b/>
        </w:rPr>
        <w:t>[</w:t>
      </w:r>
      <w:r>
        <w:t>&lt;=</w:t>
      </w:r>
      <w:r>
        <w:rPr>
          <w:b/>
        </w:rPr>
        <w:t>]</w:t>
      </w:r>
    </w:p>
    <w:p>
      <w:pPr>
        <w:divId w:val="288"/>
      </w:pPr>
      <w:r>
        <w:rPr>
          <w:i/>
        </w:rPr>
        <w:t>Hinweis: Eine genaue Definition, welche Testumgebung und welche Quality Gates dazugehören, erfolgt später in Abstimmung mit dem Hersteller.</w:t>
      </w:r>
    </w:p>
    <w:p>
      <w:pPr>
        <w:spacing w:before="0" w:after="0"/>
      </w:pPr>
      <w:r>
        <w:rPr>
          <w:vanish/>
        </w:rPr>
        <w:t>Mainline_OPB1/ML-156161</w:t>
      </w:r>
      <w:r>
        <w:rPr>
          <w:b/>
        </w:rPr>
        <w:t>A_26100</w:t>
      </w:r>
      <w:r>
        <w:rPr>
          <w:b/>
        </w:rPr>
        <w:t xml:space="preserve"> - </w:t>
      </w:r>
      <w:r>
        <w:rPr>
          <w:b/>
        </w:rPr>
        <w:t>Labeln von Komponenten</w:t>
      </w:r>
    </w:p>
    <w:p>
      <w:r>
        <w:t xml:space="preserve">Der Hersteller von Zero Trust Komponenten MUSS seine Komponenten mit dem zur Testumgebung gehörenden Label versehen, wenn er deren Quality Gate erfolgreich durchlaufen hat. Dadurch wird die Qualität der Komponenten im Produkt-Lebenszyklus  transparent gemacht  und damit auch, für welche Zwecke und in welchen Umgebungen sie eingesetzt werden darf.  </w:t>
      </w:r>
      <w:r>
        <w:commentReference w:id="193"/>
      </w:r>
      <w:r>
        <w:commentReference w:id="194"/>
      </w:r>
      <w:r>
        <w:commentReference w:id="195"/>
      </w:r>
      <w:r>
        <w:rPr>
          <w:b/>
        </w:rPr>
        <w:t>[</w:t>
      </w:r>
      <w:r>
        <w:t>&lt;=</w:t>
      </w:r>
      <w:r>
        <w:rPr>
          <w:b/>
        </w:rPr>
        <w:t>]</w:t>
      </w:r>
    </w:p>
    <w:p>
      <w:pPr>
        <w:pStyle w:val="Heading1"/>
        <w:divId w:val="289"/>
      </w:pPr>
      <w:bookmarkStart w:id="196" w:name="_Toc256000074"/>
      <w:r>
        <w:t>Dokumentenhaushalt</w:t>
      </w:r>
      <w:bookmarkEnd w:id="196"/>
    </w:p>
    <w:p>
      <w:pPr>
        <w:divId w:val="290"/>
      </w:pPr>
      <w:r>
        <w:t>Dieses Dokument hat die nachfolgenden Auswirkungen auf den Dokumenten- und Anforderungshaushalt der Telematikinfrastruktur.</w:t>
      </w:r>
    </w:p>
    <w:p>
      <w:pPr>
        <w:pStyle w:val="Heading2"/>
        <w:divId w:val="291"/>
      </w:pPr>
      <w:bookmarkStart w:id="197" w:name="_Toc256000075"/>
      <w:r>
        <w:t>Neue Dokumente</w:t>
      </w:r>
      <w:bookmarkEnd w:id="197"/>
    </w:p>
    <w:p>
      <w:pPr>
        <w:divId w:val="292"/>
      </w:pPr>
      <w:r>
        <w:t xml:space="preserve">Dieses Dokument wird zunächst als "Sicherheitsfeature" eines TI 2.0 Dienstes eingeführt. Die Anforderungen sind als übergreifende Spezifikation zu betrachten, die erst im Kontext eines konkreten TI 2.0 Dienstes wirksam werden. Daher erfordert die Realisierung des Zero Trusts immer eine zusätzliche TI 2.0 dienstspezifische Spezifikation, wobei die hier formulierten Anforderungen Eingang in die Produkt- und Anbietertyp-Steckbriefe des entsprechenden TI 2.0 Dienstes </w:t>
      </w:r>
      <w:r>
        <w:commentReference w:id="198"/>
      </w:r>
      <w:r>
        <w:commentReference w:id="199"/>
      </w:r>
      <w:r>
        <w:t xml:space="preserve"> finden.</w:t>
      </w:r>
    </w:p>
    <w:p>
      <w:pPr>
        <w:pStyle w:val="Heading2"/>
        <w:divId w:val="293"/>
      </w:pPr>
      <w:bookmarkStart w:id="200" w:name="_Toc256000076"/>
      <w:r>
        <w:t>Übersicht betroffener Dokumente</w:t>
      </w:r>
      <w:bookmarkEnd w:id="200"/>
    </w:p>
    <w:p>
      <w:pPr>
        <w:divId w:val="294"/>
      </w:pPr>
      <w:r>
        <w:t>Aus dieser Spezifikation ergeben sich zunächst keine direkten Änderungsbedarfe an anderen Dokumenten.</w:t>
      </w:r>
    </w:p>
    <w:p>
      <w:pPr>
        <w:pStyle w:val="Heading2"/>
        <w:divId w:val="295"/>
      </w:pPr>
      <w:bookmarkStart w:id="201" w:name="_Toc256000077"/>
      <w:r>
        <w:t>Übersicht Produkt- und Anbietertypen</w:t>
      </w:r>
      <w:bookmarkEnd w:id="201"/>
    </w:p>
    <w:p>
      <w:pPr>
        <w:divId w:val="296"/>
      </w:pPr>
      <w:r>
        <w:t>Die hier spezifizierten Komponenten und Dienste stellen keine isoliert zulassungsfähigen Produkttypen dar. Sie liefern einen Anforderungshaushalt für anwendungsspezifische Komponenten und Dienste, die dann zusammen einen Produkt- bzw. Anbietertyp einer konkreten Fachanwendung bzw. der TI als Plattform bilden. </w:t>
      </w:r>
    </w:p>
    <w:p>
      <w:pPr>
        <w:pStyle w:val="Heading1"/>
        <w:divId w:val="297"/>
      </w:pPr>
      <w:bookmarkStart w:id="202" w:name="_Toc256000078"/>
      <w:r>
        <w:t>Beispiele und Referenzimplementierungen</w:t>
      </w:r>
      <w:bookmarkEnd w:id="202"/>
    </w:p>
    <w:p>
      <w:pPr>
        <w:divId w:val="298"/>
      </w:pPr>
      <w:r>
        <w:t>Die gematik stellt API-Spezifikationen und Proof-of-Concept-Implementierungen im Internet zur freien Verfügung.</w:t>
      </w:r>
    </w:p>
    <w:p>
      <w:pPr>
        <w:divId w:val="299"/>
      </w:pPr>
      <w:r>
        <w:t xml:space="preserve">Das Projekt  </w:t>
      </w:r>
      <w:hyperlink r:id="rId26" w:history="1">
        <w:r>
          <w:rPr>
            <w:color w:val="0000FF" w:themeColor="hyperlink"/>
            <w:u w:val="single"/>
          </w:rPr>
          <w:t>https://dsr.gematik.solutions</w:t>
        </w:r>
      </w:hyperlink>
      <w:r>
        <w:t> demonstriert eine Attestation mobiler Anwendungen auf gängigen mobilen Betriebsystemplattformen.</w:t>
      </w:r>
    </w:p>
    <w:p>
      <w:pPr>
        <w:divId w:val="300"/>
      </w:pPr>
      <w:r>
        <w:t xml:space="preserve">Im github-Projekt </w:t>
      </w:r>
      <w:hyperlink r:id="rId27" w:history="1">
        <w:r>
          <w:rPr>
            <w:color w:val="0000FF" w:themeColor="hyperlink"/>
            <w:u w:val="single"/>
          </w:rPr>
          <w:t>https://github.com/gematik/spec-t20r</w:t>
        </w:r>
      </w:hyperlink>
      <w:r>
        <w:t> werden die Schnittstellenspezifikationen der hier spezifizierten Zero Trust-Komponenten veröffentlicht.</w:t>
      </w:r>
    </w:p>
    <w:p>
      <w:pPr>
        <w:divId w:val="301"/>
      </w:pPr>
      <w:r>
        <w:t xml:space="preserve">Die folgenden beiden Projekte  </w:t>
      </w:r>
      <w:hyperlink r:id="rId28" w:history="1">
        <w:r>
          <w:rPr>
            <w:color w:val="0000FF" w:themeColor="hyperlink"/>
            <w:u w:val="single"/>
          </w:rPr>
          <w:t>https://github.com/gematik/zero-lab</w:t>
        </w:r>
      </w:hyperlink>
      <w:r>
        <w:t xml:space="preserve"> und  </w:t>
      </w:r>
      <w:hyperlink r:id="rId29" w:history="1">
        <w:r>
          <w:rPr>
            <w:color w:val="0000FF" w:themeColor="hyperlink"/>
            <w:u w:val="single"/>
          </w:rPr>
          <w:t>https://github.com/gematik/zero-lab-apple</w:t>
        </w:r>
      </w:hyperlink>
      <w:r>
        <w:t> demonstrieren die Anwendungsfälle zur Clientregistrierung auf Apple- und Android-Geräten.</w:t>
      </w:r>
    </w:p>
    <w:p>
      <w:pPr>
        <w:pStyle w:val="Heading1"/>
        <w:divId w:val="302"/>
      </w:pPr>
      <w:bookmarkStart w:id="203" w:name="_Toc256000079"/>
      <w:r>
        <w:t>Anhang A – Verzeichnisse</w:t>
      </w:r>
      <w:bookmarkEnd w:id="203"/>
    </w:p>
    <w:p>
      <w:pPr>
        <w:pStyle w:val="Heading2"/>
        <w:divId w:val="303"/>
      </w:pPr>
      <w:bookmarkStart w:id="204" w:name="_Toc256000080"/>
      <w:r>
        <w:t>Abkürzungen</w:t>
      </w:r>
      <w:bookmarkEnd w:id="204"/>
    </w:p>
    <w:p>
      <w:pPr>
        <w:pStyle w:val="Caption"/>
        <w:keepNext/>
        <w:jc w:val="left"/>
      </w:pPr>
      <w:bookmarkStart w:id="205" w:name="_Toc256000097"/>
      <w:r>
        <w:t xml:space="preserve">Tabelle </w:t>
      </w:r>
      <w:r>
        <w:fldChar w:fldCharType="begin"/>
      </w:r>
      <w:r>
        <w:instrText xml:space="preserve"> SEQ Tabelle \* ARABIC </w:instrText>
      </w:r>
      <w:r>
        <w:fldChar w:fldCharType="separate"/>
      </w:r>
      <w:r>
        <w:t>9</w:t>
      </w:r>
      <w:r>
        <w:fldChar w:fldCharType="end"/>
      </w:r>
      <w:r>
        <w:t>: Im Dokument verwendete Abkürzungen</w:t>
      </w:r>
      <w:bookmarkEnd w:id="205"/>
    </w:p>
    <w:tbl>
      <w:tblPr>
        <w:tblStyle w:val="PolarionTableNormal"/>
        <w:tblW w:w="5000" w:type="pct"/>
        <w:jc w:val="center"/>
      </w:tblPr>
      <w:tblGrid>
        <w:gridCol w:w="1726"/>
        <w:gridCol w:w="7504"/>
      </w:tblGrid>
      <w:tr>
        <w:tblPrEx>
          <w:tblW w:w="5000" w:type="pct"/>
          <w:jc w:val="center"/>
        </w:tblPrEx>
        <w:trPr>
          <w:divId w:val="304"/>
          <w:trHeight w:val="280"/>
          <w:jc w:val="center"/>
        </w:trPr>
        <w:tc>
          <w:tcPr>
            <w:tcW w:w="1680" w:type="dxa"/>
            <w:tcBorders>
              <w:top w:val="single" w:sz="8" w:space="0" w:color="CCCCCC"/>
              <w:left w:val="single" w:sz="8" w:space="0" w:color="CCCCCC"/>
              <w:bottom w:val="single" w:sz="8" w:space="0" w:color="CCCCCC"/>
              <w:right w:val="single" w:sz="8" w:space="0" w:color="CCCCCC"/>
            </w:tcBorders>
            <w:shd w:val="clear" w:color="auto" w:fill="F0F0F0"/>
            <w:tcMar>
              <w:top w:w="80" w:type="dxa"/>
              <w:left w:w="80" w:type="dxa"/>
              <w:bottom w:w="80" w:type="dxa"/>
              <w:right w:w="80" w:type="dxa"/>
            </w:tcMar>
            <w:vAlign w:val="top"/>
          </w:tcPr>
          <w:p>
            <w:pPr>
              <w:jc w:val="left"/>
            </w:pPr>
            <w:r>
              <w:rPr>
                <w:sz w:val="18"/>
                <w:szCs w:val="18"/>
              </w:rPr>
              <w:t>Kürzel</w:t>
            </w:r>
          </w:p>
        </w:tc>
        <w:tc>
          <w:tcPr>
            <w:tcW w:w="9225" w:type="dxa"/>
            <w:tcBorders>
              <w:top w:val="single" w:sz="8" w:space="0" w:color="CCCCCC"/>
              <w:left w:val="single" w:sz="8" w:space="0" w:color="CCCCCC"/>
              <w:bottom w:val="single" w:sz="8" w:space="0" w:color="CCCCCC"/>
              <w:right w:val="single" w:sz="8" w:space="0" w:color="CCCCCC"/>
            </w:tcBorders>
            <w:shd w:val="clear" w:color="auto" w:fill="F0F0F0"/>
            <w:tcMar>
              <w:top w:w="80" w:type="dxa"/>
              <w:left w:w="80" w:type="dxa"/>
              <w:bottom w:w="80" w:type="dxa"/>
              <w:right w:w="80" w:type="dxa"/>
            </w:tcMar>
            <w:vAlign w:val="top"/>
          </w:tcPr>
          <w:p>
            <w:pPr>
              <w:jc w:val="left"/>
            </w:pPr>
            <w:r>
              <w:rPr>
                <w:sz w:val="18"/>
                <w:szCs w:val="18"/>
              </w:rPr>
              <w:t>Erläuterung</w:t>
            </w:r>
          </w:p>
        </w:tc>
      </w:tr>
      <w:tr>
        <w:tblPrEx>
          <w:tblW w:w="5000" w:type="pct"/>
          <w:jc w:val="center"/>
        </w:tblPrEx>
        <w:trPr>
          <w:divId w:val="304"/>
          <w:trHeight w:hRule="auto" w:val="0"/>
          <w:jc w:val="center"/>
        </w:trPr>
        <w:tc>
          <w:tcPr>
            <w:tcW w:w="168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BDE</w:t>
            </w:r>
          </w:p>
        </w:tc>
        <w:tc>
          <w:tcPr>
            <w:tcW w:w="922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Betriebsdatenerfassung</w:t>
            </w:r>
          </w:p>
        </w:tc>
      </w:tr>
      <w:tr>
        <w:tblPrEx>
          <w:tblW w:w="5000" w:type="pct"/>
          <w:jc w:val="center"/>
        </w:tblPrEx>
        <w:trPr>
          <w:divId w:val="304"/>
          <w:trHeight w:hRule="auto" w:val="0"/>
          <w:jc w:val="center"/>
        </w:trPr>
        <w:tc>
          <w:tcPr>
            <w:tcW w:w="168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DSR</w:t>
            </w:r>
          </w:p>
        </w:tc>
        <w:tc>
          <w:tcPr>
            <w:tcW w:w="922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Device Security Rating</w:t>
            </w:r>
          </w:p>
        </w:tc>
      </w:tr>
      <w:tr>
        <w:tblPrEx>
          <w:tblW w:w="5000" w:type="pct"/>
          <w:jc w:val="center"/>
        </w:tblPrEx>
        <w:trPr>
          <w:divId w:val="304"/>
          <w:trHeight w:hRule="auto" w:val="0"/>
          <w:jc w:val="center"/>
        </w:trPr>
        <w:tc>
          <w:tcPr>
            <w:tcW w:w="168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eGK</w:t>
            </w:r>
          </w:p>
        </w:tc>
        <w:tc>
          <w:tcPr>
            <w:tcW w:w="922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elektronische Gesundheitskarte</w:t>
            </w:r>
          </w:p>
        </w:tc>
      </w:tr>
      <w:tr>
        <w:tblPrEx>
          <w:tblW w:w="5000" w:type="pct"/>
          <w:jc w:val="center"/>
        </w:tblPrEx>
        <w:trPr>
          <w:divId w:val="304"/>
          <w:trHeight w:hRule="auto" w:val="0"/>
          <w:jc w:val="center"/>
        </w:trPr>
        <w:tc>
          <w:tcPr>
            <w:tcW w:w="168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GesundheitsID</w:t>
            </w:r>
          </w:p>
        </w:tc>
        <w:tc>
          <w:tcPr>
            <w:tcW w:w="922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Digitale Identität</w:t>
            </w:r>
          </w:p>
        </w:tc>
      </w:tr>
      <w:tr>
        <w:tblPrEx>
          <w:tblW w:w="5000" w:type="pct"/>
          <w:jc w:val="center"/>
        </w:tblPrEx>
        <w:trPr>
          <w:divId w:val="304"/>
          <w:trHeight w:hRule="auto" w:val="0"/>
          <w:jc w:val="center"/>
        </w:trPr>
        <w:tc>
          <w:tcPr>
            <w:tcW w:w="168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IdP</w:t>
            </w:r>
          </w:p>
        </w:tc>
        <w:tc>
          <w:tcPr>
            <w:tcW w:w="922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Identity Provider</w:t>
            </w:r>
          </w:p>
        </w:tc>
      </w:tr>
      <w:tr>
        <w:tblPrEx>
          <w:tblW w:w="5000" w:type="pct"/>
          <w:jc w:val="center"/>
        </w:tblPrEx>
        <w:trPr>
          <w:divId w:val="304"/>
          <w:trHeight w:hRule="auto" w:val="0"/>
          <w:jc w:val="center"/>
        </w:trPr>
        <w:tc>
          <w:tcPr>
            <w:tcW w:w="168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IDS</w:t>
            </w:r>
          </w:p>
        </w:tc>
        <w:tc>
          <w:tcPr>
            <w:tcW w:w="922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Intrusion Detection System</w:t>
            </w:r>
          </w:p>
        </w:tc>
      </w:tr>
      <w:tr>
        <w:tblPrEx>
          <w:tblW w:w="5000" w:type="pct"/>
          <w:jc w:val="center"/>
        </w:tblPrEx>
        <w:trPr>
          <w:divId w:val="304"/>
          <w:trHeight w:val="320"/>
          <w:jc w:val="center"/>
        </w:trPr>
        <w:tc>
          <w:tcPr>
            <w:tcW w:w="168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ISMS</w:t>
            </w:r>
          </w:p>
        </w:tc>
        <w:tc>
          <w:tcPr>
            <w:tcW w:w="922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Informationssicherheitsmanagementsystem</w:t>
            </w:r>
          </w:p>
        </w:tc>
      </w:tr>
      <w:tr>
        <w:tblPrEx>
          <w:tblW w:w="5000" w:type="pct"/>
          <w:jc w:val="center"/>
        </w:tblPrEx>
        <w:trPr>
          <w:divId w:val="304"/>
          <w:trHeight w:val="320"/>
          <w:jc w:val="center"/>
        </w:trPr>
        <w:tc>
          <w:tcPr>
            <w:tcW w:w="168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PAP</w:t>
            </w:r>
          </w:p>
        </w:tc>
        <w:tc>
          <w:tcPr>
            <w:tcW w:w="922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Policy Administration Point</w:t>
            </w:r>
          </w:p>
        </w:tc>
      </w:tr>
      <w:tr>
        <w:tblPrEx>
          <w:tblW w:w="5000" w:type="pct"/>
          <w:jc w:val="center"/>
        </w:tblPrEx>
        <w:trPr>
          <w:divId w:val="304"/>
          <w:trHeight w:val="320"/>
          <w:jc w:val="center"/>
        </w:trPr>
        <w:tc>
          <w:tcPr>
            <w:tcW w:w="168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PDP</w:t>
            </w:r>
          </w:p>
        </w:tc>
        <w:tc>
          <w:tcPr>
            <w:tcW w:w="922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Policy Decision Point</w:t>
            </w:r>
          </w:p>
        </w:tc>
      </w:tr>
      <w:tr>
        <w:tblPrEx>
          <w:tblW w:w="5000" w:type="pct"/>
          <w:jc w:val="center"/>
        </w:tblPrEx>
        <w:trPr>
          <w:divId w:val="304"/>
          <w:trHeight w:val="320"/>
          <w:jc w:val="center"/>
        </w:trPr>
        <w:tc>
          <w:tcPr>
            <w:tcW w:w="168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PEP</w:t>
            </w:r>
          </w:p>
        </w:tc>
        <w:tc>
          <w:tcPr>
            <w:tcW w:w="922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Policy Enforcement Point</w:t>
            </w:r>
          </w:p>
        </w:tc>
      </w:tr>
      <w:tr>
        <w:tblPrEx>
          <w:tblW w:w="5000" w:type="pct"/>
          <w:jc w:val="center"/>
        </w:tblPrEx>
        <w:trPr>
          <w:divId w:val="304"/>
          <w:trHeight w:val="320"/>
          <w:jc w:val="center"/>
        </w:trPr>
        <w:tc>
          <w:tcPr>
            <w:tcW w:w="168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PIP</w:t>
            </w:r>
          </w:p>
        </w:tc>
        <w:tc>
          <w:tcPr>
            <w:tcW w:w="922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Policy Information Point</w:t>
            </w:r>
          </w:p>
        </w:tc>
      </w:tr>
      <w:tr>
        <w:tblPrEx>
          <w:tblW w:w="5000" w:type="pct"/>
          <w:jc w:val="center"/>
        </w:tblPrEx>
        <w:trPr>
          <w:divId w:val="304"/>
          <w:trHeight w:val="320"/>
          <w:jc w:val="center"/>
        </w:trPr>
        <w:tc>
          <w:tcPr>
            <w:tcW w:w="168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SIEM</w:t>
            </w:r>
          </w:p>
        </w:tc>
        <w:tc>
          <w:tcPr>
            <w:tcW w:w="922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Security Information and Event Management</w:t>
            </w:r>
          </w:p>
        </w:tc>
      </w:tr>
      <w:tr>
        <w:tblPrEx>
          <w:tblW w:w="5000" w:type="pct"/>
          <w:jc w:val="center"/>
        </w:tblPrEx>
        <w:trPr>
          <w:divId w:val="304"/>
          <w:trHeight w:val="320"/>
          <w:jc w:val="center"/>
        </w:trPr>
        <w:tc>
          <w:tcPr>
            <w:tcW w:w="168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TI</w:t>
            </w:r>
          </w:p>
        </w:tc>
        <w:tc>
          <w:tcPr>
            <w:tcW w:w="922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Telematikinfrastruktur</w:t>
            </w:r>
          </w:p>
        </w:tc>
      </w:tr>
      <w:tr>
        <w:tblPrEx>
          <w:tblW w:w="5000" w:type="pct"/>
          <w:jc w:val="center"/>
        </w:tblPrEx>
        <w:trPr>
          <w:divId w:val="304"/>
          <w:trHeight w:val="320"/>
          <w:jc w:val="center"/>
        </w:trPr>
        <w:tc>
          <w:tcPr>
            <w:tcW w:w="168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TI-ITSM</w:t>
            </w:r>
          </w:p>
        </w:tc>
        <w:tc>
          <w:tcPr>
            <w:tcW w:w="922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tcPr>
          <w:p>
            <w:r>
              <w:t>IT-Service-Management der TI</w:t>
            </w:r>
          </w:p>
        </w:tc>
      </w:tr>
    </w:tbl>
    <w:p>
      <w:pPr>
        <w:pStyle w:val="Heading2"/>
        <w:divId w:val="305"/>
      </w:pPr>
      <w:bookmarkStart w:id="206" w:name="_Toc256000081"/>
      <w:r>
        <w:t>Abbildungsverzeichnis</w:t>
      </w:r>
      <w:bookmarkEnd w:id="206"/>
    </w:p>
    <w:permStart w:id="207" w:edGrp="everyone"/>
    <w:p>
      <w:pPr>
        <w:pStyle w:val="TableofFigures"/>
        <w:tabs>
          <w:tab w:val="right" w:leader="dot" w:pos="9060"/>
        </w:tabs>
        <w:rPr>
          <w:rFonts w:asciiTheme="minorHAnsi" w:hAnsiTheme="minorHAnsi"/>
          <w:noProof/>
          <w:sz w:val="22"/>
        </w:rPr>
      </w:pPr>
      <w:r w:rsidRPr="00F135F8">
        <w:rPr>
          <w:b/>
          <w:bCs/>
          <w:iCs/>
          <w:szCs w:val="20"/>
        </w:rPr>
        <w:fldChar w:fldCharType="begin"/>
      </w:r>
      <w:r w:rsidRPr="00F135F8">
        <w:rPr>
          <w:b/>
          <w:bCs/>
          <w:iCs/>
          <w:szCs w:val="20"/>
          <w:lang w:val="en-US"/>
        </w:rPr>
        <w:instrText xml:space="preserve"> TOC \f F \h \z \c "Abbildung" </w:instrText>
      </w:r>
      <w:r w:rsidRPr="00F135F8">
        <w:rPr>
          <w:b/>
          <w:bCs/>
          <w:iCs/>
          <w:szCs w:val="20"/>
        </w:rPr>
        <w:fldChar w:fldCharType="separate"/>
      </w:r>
      <w:hyperlink w:anchor="_Toc256000086" w:history="1">
        <w:r>
          <w:rPr>
            <w:rStyle w:val="Hyperlink"/>
          </w:rPr>
          <w:t xml:space="preserve">Abbildung </w:t>
        </w:r>
        <w:r>
          <w:rPr>
            <w:rStyle w:val="Hyperlink"/>
          </w:rPr>
          <w:t>1</w:t>
        </w:r>
        <w:r>
          <w:rPr>
            <w:rStyle w:val="Hyperlink"/>
          </w:rPr>
          <w:t>: NIST Zero Trust Referenzarchitektur</w:t>
        </w:r>
        <w:r>
          <w:tab/>
        </w:r>
        <w:r>
          <w:fldChar w:fldCharType="begin"/>
        </w:r>
        <w:r>
          <w:instrText xml:space="preserve"> PAGEREF _Toc256000086 \h </w:instrText>
        </w:r>
        <w:r>
          <w:fldChar w:fldCharType="separate"/>
        </w:r>
        <w:r>
          <w:t>11</w:t>
        </w:r>
        <w:r>
          <w:fldChar w:fldCharType="end"/>
        </w:r>
      </w:hyperlink>
    </w:p>
    <w:p>
      <w:pPr>
        <w:pStyle w:val="TableofFigures"/>
        <w:tabs>
          <w:tab w:val="right" w:leader="dot" w:pos="9060"/>
        </w:tabs>
        <w:rPr>
          <w:rFonts w:asciiTheme="minorHAnsi" w:hAnsiTheme="minorHAnsi"/>
          <w:noProof/>
          <w:sz w:val="22"/>
        </w:rPr>
      </w:pPr>
      <w:hyperlink w:anchor="_Toc256000087" w:history="1">
        <w:r>
          <w:rPr>
            <w:rStyle w:val="Hyperlink"/>
          </w:rPr>
          <w:t xml:space="preserve">Abbildung </w:t>
        </w:r>
        <w:r>
          <w:rPr>
            <w:rStyle w:val="Hyperlink"/>
          </w:rPr>
          <w:t>2</w:t>
        </w:r>
        <w:r>
          <w:rPr>
            <w:rStyle w:val="Hyperlink"/>
          </w:rPr>
          <w:t xml:space="preserve"> : Zero_Trust_Architektur_der_TI_2.0</w:t>
        </w:r>
        <w:r>
          <w:tab/>
        </w:r>
        <w:r>
          <w:fldChar w:fldCharType="begin"/>
        </w:r>
        <w:r>
          <w:instrText xml:space="preserve"> PAGEREF _Toc256000087 \h </w:instrText>
        </w:r>
        <w:r>
          <w:fldChar w:fldCharType="separate"/>
        </w:r>
        <w:r>
          <w:t>12</w:t>
        </w:r>
        <w:r>
          <w:fldChar w:fldCharType="end"/>
        </w:r>
      </w:hyperlink>
    </w:p>
    <w:p>
      <w:pPr>
        <w:pStyle w:val="TableofFigures"/>
        <w:tabs>
          <w:tab w:val="right" w:leader="dot" w:pos="9060"/>
        </w:tabs>
        <w:rPr>
          <w:rFonts w:asciiTheme="minorHAnsi" w:hAnsiTheme="minorHAnsi"/>
          <w:noProof/>
          <w:sz w:val="22"/>
        </w:rPr>
      </w:pPr>
      <w:hyperlink w:anchor="_Toc256000088" w:history="1">
        <w:r>
          <w:rPr>
            <w:rStyle w:val="Hyperlink"/>
          </w:rPr>
          <w:t xml:space="preserve">Abbildung </w:t>
        </w:r>
        <w:r>
          <w:rPr>
            <w:rStyle w:val="Hyperlink"/>
          </w:rPr>
          <w:t>3</w:t>
        </w:r>
        <w:r>
          <w:rPr>
            <w:rStyle w:val="Hyperlink"/>
          </w:rPr>
          <w:t xml:space="preserve"> SM-B_Authentisierung_mit_DPoP</w:t>
        </w:r>
        <w:r>
          <w:tab/>
        </w:r>
        <w:r>
          <w:fldChar w:fldCharType="begin"/>
        </w:r>
        <w:r>
          <w:instrText xml:space="preserve"> PAGEREF _Toc256000088 \h </w:instrText>
        </w:r>
        <w:r>
          <w:fldChar w:fldCharType="separate"/>
        </w:r>
        <w:r>
          <w:t>40</w:t>
        </w:r>
        <w:r>
          <w:fldChar w:fldCharType="end"/>
        </w:r>
      </w:hyperlink>
    </w:p>
    <w:p w:rsidR="005449FE" w:rsidRPr="00F135F8">
      <w:pPr>
        <w:pStyle w:val="TableofFigures"/>
        <w:tabs>
          <w:tab w:val="right" w:leader="dot" w:pos="8726"/>
        </w:tabs>
        <w:rPr>
          <w:rFonts w:eastAsia="Times New Roman"/>
          <w:noProof/>
          <w:szCs w:val="20"/>
          <w:lang w:val="en-US"/>
        </w:rPr>
      </w:pPr>
      <w:r w:rsidRPr="00F135F8">
        <w:rPr>
          <w:szCs w:val="20"/>
        </w:rPr>
        <w:fldChar w:fldCharType="end"/>
      </w:r>
    </w:p>
    <w:permEnd w:id="207"/>
    <w:p>
      <w:pPr>
        <w:pStyle w:val="Heading2"/>
        <w:divId w:val="306"/>
      </w:pPr>
      <w:bookmarkStart w:id="208" w:name="_Toc256000082"/>
      <w:r>
        <w:t>Tabellenverzeichnis</w:t>
      </w:r>
      <w:bookmarkEnd w:id="208"/>
    </w:p>
    <w:permStart w:id="209" w:edGrp="everyone"/>
    <w:p>
      <w:pPr>
        <w:pStyle w:val="TableofFigures"/>
        <w:tabs>
          <w:tab w:val="right" w:leader="dot" w:pos="9060"/>
        </w:tabs>
        <w:rPr>
          <w:rFonts w:asciiTheme="minorHAnsi" w:hAnsiTheme="minorHAnsi"/>
          <w:noProof/>
          <w:sz w:val="22"/>
        </w:rPr>
      </w:pPr>
      <w:r w:rsidRPr="00F135F8">
        <w:rPr>
          <w:szCs w:val="20"/>
        </w:rPr>
        <w:fldChar w:fldCharType="begin"/>
      </w:r>
      <w:r w:rsidRPr="00F135F8">
        <w:rPr>
          <w:szCs w:val="20"/>
          <w:lang w:val="en-US"/>
        </w:rPr>
        <w:instrText xml:space="preserve"> TOC \h \z \c "Tabelle" </w:instrText>
      </w:r>
      <w:r w:rsidRPr="00F135F8">
        <w:rPr>
          <w:szCs w:val="20"/>
        </w:rPr>
        <w:fldChar w:fldCharType="separate"/>
      </w:r>
      <w:hyperlink w:anchor="_Toc256000089" w:history="1">
        <w:r>
          <w:rPr>
            <w:rStyle w:val="Hyperlink"/>
          </w:rPr>
          <w:t xml:space="preserve">Tabelle </w:t>
        </w:r>
        <w:r>
          <w:rPr>
            <w:rStyle w:val="Hyperlink"/>
          </w:rPr>
          <w:t>1</w:t>
        </w:r>
        <w:r>
          <w:rPr>
            <w:rStyle w:val="Hyperlink"/>
          </w:rPr>
          <w:t>: Statische Eigenschaften Clientsysteme auf Hersteller-/Herausgeber-/Anbieterebene</w:t>
        </w:r>
        <w:r>
          <w:tab/>
        </w:r>
        <w:r>
          <w:fldChar w:fldCharType="begin"/>
        </w:r>
        <w:r>
          <w:instrText xml:space="preserve"> PAGEREF _Toc256000089 \h </w:instrText>
        </w:r>
        <w:r>
          <w:fldChar w:fldCharType="separate"/>
        </w:r>
        <w:r>
          <w:t>17</w:t>
        </w:r>
        <w:r>
          <w:fldChar w:fldCharType="end"/>
        </w:r>
      </w:hyperlink>
    </w:p>
    <w:p>
      <w:pPr>
        <w:pStyle w:val="TableofFigures"/>
        <w:tabs>
          <w:tab w:val="right" w:leader="dot" w:pos="9060"/>
        </w:tabs>
        <w:rPr>
          <w:rFonts w:asciiTheme="minorHAnsi" w:hAnsiTheme="minorHAnsi"/>
          <w:noProof/>
          <w:sz w:val="22"/>
        </w:rPr>
      </w:pPr>
      <w:hyperlink w:anchor="_Toc256000090" w:history="1">
        <w:r>
          <w:rPr>
            <w:rStyle w:val="Hyperlink"/>
          </w:rPr>
          <w:t xml:space="preserve">Tabelle </w:t>
        </w:r>
        <w:r>
          <w:rPr>
            <w:rStyle w:val="Hyperlink"/>
          </w:rPr>
          <w:t>2</w:t>
        </w:r>
        <w:r>
          <w:rPr>
            <w:rStyle w:val="Hyperlink"/>
          </w:rPr>
          <w:t xml:space="preserve"> : Eigenschaften Clientsysteme auf Instanzebene (pro Installation</w:t>
        </w:r>
        <w:r>
          <w:tab/>
        </w:r>
        <w:r>
          <w:fldChar w:fldCharType="begin"/>
        </w:r>
        <w:r>
          <w:instrText xml:space="preserve"> PAGEREF _Toc256000090 \h </w:instrText>
        </w:r>
        <w:r>
          <w:fldChar w:fldCharType="separate"/>
        </w:r>
        <w:r>
          <w:t>18</w:t>
        </w:r>
        <w:r>
          <w:fldChar w:fldCharType="end"/>
        </w:r>
      </w:hyperlink>
    </w:p>
    <w:p>
      <w:pPr>
        <w:pStyle w:val="TableofFigures"/>
        <w:tabs>
          <w:tab w:val="right" w:leader="dot" w:pos="9060"/>
        </w:tabs>
        <w:rPr>
          <w:rFonts w:asciiTheme="minorHAnsi" w:hAnsiTheme="minorHAnsi"/>
          <w:noProof/>
          <w:sz w:val="22"/>
        </w:rPr>
      </w:pPr>
      <w:hyperlink w:anchor="_Toc256000091" w:history="1">
        <w:r>
          <w:rPr>
            <w:rStyle w:val="Hyperlink"/>
          </w:rPr>
          <w:t xml:space="preserve">Tabelle </w:t>
        </w:r>
        <w:r>
          <w:rPr>
            <w:rStyle w:val="Hyperlink"/>
          </w:rPr>
          <w:t>3</w:t>
        </w:r>
        <w:r>
          <w:rPr>
            <w:rStyle w:val="Hyperlink"/>
          </w:rPr>
          <w:t xml:space="preserve">: Verwendete Device </w:t>
        </w:r>
        <w:r>
          <w:rPr>
            <w:rStyle w:val="Hyperlink"/>
          </w:rPr>
          <w:t xml:space="preserve"> Claims für Android-Geräte</w:t>
        </w:r>
        <w:r>
          <w:tab/>
        </w:r>
        <w:r>
          <w:fldChar w:fldCharType="begin"/>
        </w:r>
        <w:r>
          <w:instrText xml:space="preserve"> PAGEREF _Toc256000091 \h </w:instrText>
        </w:r>
        <w:r>
          <w:fldChar w:fldCharType="separate"/>
        </w:r>
        <w:r>
          <w:t>19</w:t>
        </w:r>
        <w:r>
          <w:fldChar w:fldCharType="end"/>
        </w:r>
      </w:hyperlink>
    </w:p>
    <w:p>
      <w:pPr>
        <w:pStyle w:val="TableofFigures"/>
        <w:tabs>
          <w:tab w:val="right" w:leader="dot" w:pos="9060"/>
        </w:tabs>
        <w:rPr>
          <w:rFonts w:asciiTheme="minorHAnsi" w:hAnsiTheme="minorHAnsi"/>
          <w:noProof/>
          <w:sz w:val="22"/>
        </w:rPr>
      </w:pPr>
      <w:hyperlink w:anchor="_Toc256000092" w:history="1">
        <w:r>
          <w:rPr>
            <w:rStyle w:val="Hyperlink"/>
          </w:rPr>
          <w:t xml:space="preserve">Tabelle </w:t>
        </w:r>
        <w:r>
          <w:rPr>
            <w:rStyle w:val="Hyperlink"/>
          </w:rPr>
          <w:t>4</w:t>
        </w:r>
        <w:r>
          <w:rPr>
            <w:rStyle w:val="Hyperlink"/>
          </w:rPr>
          <w:t xml:space="preserve">: Verwendete </w:t>
        </w:r>
        <w:r>
          <w:rPr>
            <w:rStyle w:val="Hyperlink"/>
          </w:rPr>
          <w:t xml:space="preserve"> Device Claims für iOS-Geräte</w:t>
        </w:r>
        <w:r>
          <w:tab/>
        </w:r>
        <w:r>
          <w:fldChar w:fldCharType="begin"/>
        </w:r>
        <w:r>
          <w:instrText xml:space="preserve"> PAGEREF _Toc256000092 \h </w:instrText>
        </w:r>
        <w:r>
          <w:fldChar w:fldCharType="separate"/>
        </w:r>
        <w:r>
          <w:t>20</w:t>
        </w:r>
        <w:r>
          <w:fldChar w:fldCharType="end"/>
        </w:r>
      </w:hyperlink>
    </w:p>
    <w:p>
      <w:pPr>
        <w:pStyle w:val="TableofFigures"/>
        <w:tabs>
          <w:tab w:val="right" w:leader="dot" w:pos="9060"/>
        </w:tabs>
        <w:rPr>
          <w:rFonts w:asciiTheme="minorHAnsi" w:hAnsiTheme="minorHAnsi"/>
          <w:noProof/>
          <w:sz w:val="22"/>
        </w:rPr>
      </w:pPr>
      <w:hyperlink w:anchor="_Toc256000093" w:history="1">
        <w:r>
          <w:rPr>
            <w:rStyle w:val="Hyperlink"/>
          </w:rPr>
          <w:t xml:space="preserve">Tabelle </w:t>
        </w:r>
        <w:r>
          <w:rPr>
            <w:rStyle w:val="Hyperlink"/>
          </w:rPr>
          <w:t>5</w:t>
        </w:r>
        <w:r>
          <w:rPr>
            <w:rStyle w:val="Hyperlink"/>
          </w:rPr>
          <w:t>: PEP Authorization Server - Plugin-Schnittstelle Application Authorization Backend</w:t>
        </w:r>
        <w:r>
          <w:tab/>
        </w:r>
        <w:r>
          <w:fldChar w:fldCharType="begin"/>
        </w:r>
        <w:r>
          <w:instrText xml:space="preserve"> PAGEREF _Toc256000093 \h </w:instrText>
        </w:r>
        <w:r>
          <w:fldChar w:fldCharType="separate"/>
        </w:r>
        <w:r>
          <w:t>37</w:t>
        </w:r>
        <w:r>
          <w:fldChar w:fldCharType="end"/>
        </w:r>
      </w:hyperlink>
    </w:p>
    <w:p>
      <w:pPr>
        <w:pStyle w:val="TableofFigures"/>
        <w:tabs>
          <w:tab w:val="right" w:leader="dot" w:pos="9060"/>
        </w:tabs>
        <w:rPr>
          <w:rFonts w:asciiTheme="minorHAnsi" w:hAnsiTheme="minorHAnsi"/>
          <w:noProof/>
          <w:sz w:val="22"/>
        </w:rPr>
      </w:pPr>
      <w:hyperlink w:anchor="_Toc256000094" w:history="1">
        <w:r>
          <w:rPr>
            <w:rStyle w:val="Hyperlink"/>
          </w:rPr>
          <w:t xml:space="preserve">Tabelle </w:t>
        </w:r>
        <w:r>
          <w:rPr>
            <w:rStyle w:val="Hyperlink"/>
          </w:rPr>
          <w:t>6</w:t>
        </w:r>
        <w:r>
          <w:rPr>
            <w:rStyle w:val="Hyperlink"/>
          </w:rPr>
          <w:t>: PEP http Proxy - Zusätzliche http-Header</w:t>
        </w:r>
        <w:r>
          <w:tab/>
        </w:r>
        <w:r>
          <w:fldChar w:fldCharType="begin"/>
        </w:r>
        <w:r>
          <w:instrText xml:space="preserve"> PAGEREF _Toc256000094 \h </w:instrText>
        </w:r>
        <w:r>
          <w:fldChar w:fldCharType="separate"/>
        </w:r>
        <w:r>
          <w:t>44</w:t>
        </w:r>
        <w:r>
          <w:fldChar w:fldCharType="end"/>
        </w:r>
      </w:hyperlink>
    </w:p>
    <w:p>
      <w:pPr>
        <w:pStyle w:val="TableofFigures"/>
        <w:tabs>
          <w:tab w:val="right" w:leader="dot" w:pos="9060"/>
        </w:tabs>
        <w:rPr>
          <w:rFonts w:asciiTheme="minorHAnsi" w:hAnsiTheme="minorHAnsi"/>
          <w:noProof/>
          <w:sz w:val="22"/>
        </w:rPr>
      </w:pPr>
      <w:hyperlink w:anchor="_Toc256000095" w:history="1">
        <w:r>
          <w:rPr>
            <w:rStyle w:val="Hyperlink"/>
          </w:rPr>
          <w:t xml:space="preserve">Tabelle </w:t>
        </w:r>
        <w:r>
          <w:rPr>
            <w:rStyle w:val="Hyperlink"/>
          </w:rPr>
          <w:t>7</w:t>
        </w:r>
        <w:r>
          <w:rPr>
            <w:rStyle w:val="Hyperlink"/>
          </w:rPr>
          <w:t xml:space="preserve"> PEP_Konfigurations-Parameter</w:t>
        </w:r>
        <w:r>
          <w:tab/>
        </w:r>
        <w:r>
          <w:fldChar w:fldCharType="begin"/>
        </w:r>
        <w:r>
          <w:instrText xml:space="preserve"> PAGEREF _Toc256000095 \h </w:instrText>
        </w:r>
        <w:r>
          <w:fldChar w:fldCharType="separate"/>
        </w:r>
        <w:r>
          <w:t>45</w:t>
        </w:r>
        <w:r>
          <w:fldChar w:fldCharType="end"/>
        </w:r>
      </w:hyperlink>
    </w:p>
    <w:p>
      <w:pPr>
        <w:pStyle w:val="TableofFigures"/>
        <w:tabs>
          <w:tab w:val="right" w:leader="dot" w:pos="9060"/>
        </w:tabs>
        <w:rPr>
          <w:rFonts w:asciiTheme="minorHAnsi" w:hAnsiTheme="minorHAnsi"/>
          <w:noProof/>
          <w:sz w:val="22"/>
        </w:rPr>
      </w:pPr>
      <w:hyperlink w:anchor="_Toc256000096" w:history="1">
        <w:r>
          <w:rPr>
            <w:rStyle w:val="Hyperlink"/>
          </w:rPr>
          <w:t xml:space="preserve">Tabelle </w:t>
        </w:r>
        <w:r>
          <w:rPr>
            <w:rStyle w:val="Hyperlink"/>
          </w:rPr>
          <w:t>8</w:t>
        </w:r>
        <w:r>
          <w:rPr>
            <w:rStyle w:val="Hyperlink"/>
          </w:rPr>
          <w:t>: OPA_Konfiguration</w:t>
        </w:r>
        <w:r>
          <w:tab/>
        </w:r>
        <w:r>
          <w:fldChar w:fldCharType="begin"/>
        </w:r>
        <w:r>
          <w:instrText xml:space="preserve"> PAGEREF _Toc256000096 \h </w:instrText>
        </w:r>
        <w:r>
          <w:fldChar w:fldCharType="separate"/>
        </w:r>
        <w:r>
          <w:t>45</w:t>
        </w:r>
        <w:r>
          <w:fldChar w:fldCharType="end"/>
        </w:r>
      </w:hyperlink>
    </w:p>
    <w:p>
      <w:pPr>
        <w:pStyle w:val="TableofFigures"/>
        <w:tabs>
          <w:tab w:val="right" w:leader="dot" w:pos="9060"/>
        </w:tabs>
        <w:rPr>
          <w:rFonts w:asciiTheme="minorHAnsi" w:hAnsiTheme="minorHAnsi"/>
          <w:noProof/>
          <w:sz w:val="22"/>
        </w:rPr>
      </w:pPr>
      <w:hyperlink w:anchor="_Toc256000097" w:history="1">
        <w:r>
          <w:rPr>
            <w:rStyle w:val="Hyperlink"/>
          </w:rPr>
          <w:t xml:space="preserve">Tabelle </w:t>
        </w:r>
        <w:r>
          <w:rPr>
            <w:rStyle w:val="Hyperlink"/>
          </w:rPr>
          <w:t>9</w:t>
        </w:r>
        <w:r>
          <w:rPr>
            <w:rStyle w:val="Hyperlink"/>
          </w:rPr>
          <w:t>: Im Dokument verwendete Abkürzungen</w:t>
        </w:r>
        <w:r>
          <w:tab/>
        </w:r>
        <w:r>
          <w:fldChar w:fldCharType="begin"/>
        </w:r>
        <w:r>
          <w:instrText xml:space="preserve"> PAGEREF _Toc256000097 \h </w:instrText>
        </w:r>
        <w:r>
          <w:fldChar w:fldCharType="separate"/>
        </w:r>
        <w:r>
          <w:t>58</w:t>
        </w:r>
        <w:r>
          <w:fldChar w:fldCharType="end"/>
        </w:r>
      </w:hyperlink>
    </w:p>
    <w:p>
      <w:pPr>
        <w:pStyle w:val="TableofFigures"/>
        <w:tabs>
          <w:tab w:val="right" w:leader="dot" w:pos="9060"/>
        </w:tabs>
        <w:rPr>
          <w:rFonts w:asciiTheme="minorHAnsi" w:hAnsiTheme="minorHAnsi"/>
          <w:noProof/>
          <w:sz w:val="22"/>
        </w:rPr>
      </w:pPr>
      <w:hyperlink w:anchor="_Toc256000098" w:history="1">
        <w:r>
          <w:rPr>
            <w:rStyle w:val="Hyperlink"/>
          </w:rPr>
          <w:t xml:space="preserve">Tabelle </w:t>
        </w:r>
        <w:r>
          <w:rPr>
            <w:rStyle w:val="Hyperlink"/>
          </w:rPr>
          <w:t>10</w:t>
        </w:r>
        <w:r>
          <w:rPr>
            <w:rStyle w:val="Hyperlink"/>
          </w:rPr>
          <w:t>: Referenzierte Dokumente der gematik</w:t>
        </w:r>
        <w:r>
          <w:tab/>
        </w:r>
        <w:r>
          <w:fldChar w:fldCharType="begin"/>
        </w:r>
        <w:r>
          <w:instrText xml:space="preserve"> PAGEREF _Toc256000098 \h </w:instrText>
        </w:r>
        <w:r>
          <w:fldChar w:fldCharType="separate"/>
        </w:r>
        <w:r>
          <w:t>59</w:t>
        </w:r>
        <w:r>
          <w:fldChar w:fldCharType="end"/>
        </w:r>
      </w:hyperlink>
    </w:p>
    <w:p>
      <w:pPr>
        <w:pStyle w:val="TableofFigures"/>
        <w:tabs>
          <w:tab w:val="right" w:leader="dot" w:pos="9060"/>
        </w:tabs>
        <w:rPr>
          <w:rFonts w:asciiTheme="minorHAnsi" w:hAnsiTheme="minorHAnsi"/>
          <w:noProof/>
          <w:sz w:val="22"/>
        </w:rPr>
      </w:pPr>
      <w:hyperlink w:anchor="_Toc256000099" w:history="1">
        <w:r>
          <w:rPr>
            <w:rStyle w:val="Hyperlink"/>
          </w:rPr>
          <w:t xml:space="preserve">Tabelle </w:t>
        </w:r>
        <w:r>
          <w:rPr>
            <w:rStyle w:val="Hyperlink"/>
          </w:rPr>
          <w:t>11</w:t>
        </w:r>
        <w:r>
          <w:rPr>
            <w:rStyle w:val="Hyperlink"/>
          </w:rPr>
          <w:t>: Weitere Referenzen</w:t>
        </w:r>
        <w:r>
          <w:tab/>
        </w:r>
        <w:r>
          <w:fldChar w:fldCharType="begin"/>
        </w:r>
        <w:r>
          <w:instrText xml:space="preserve"> PAGEREF _Toc256000099 \h </w:instrText>
        </w:r>
        <w:r>
          <w:fldChar w:fldCharType="separate"/>
        </w:r>
        <w:r>
          <w:t>60</w:t>
        </w:r>
        <w:r>
          <w:fldChar w:fldCharType="end"/>
        </w:r>
      </w:hyperlink>
    </w:p>
    <w:p w:rsidR="005449FE" w:rsidRPr="00F135F8">
      <w:pPr>
        <w:pStyle w:val="TableofFigures"/>
        <w:tabs>
          <w:tab w:val="right" w:leader="dot" w:pos="8726"/>
        </w:tabs>
        <w:rPr>
          <w:rFonts w:eastAsia="Times New Roman"/>
          <w:noProof/>
          <w:szCs w:val="20"/>
          <w:lang w:val="en-US"/>
        </w:rPr>
      </w:pPr>
      <w:r w:rsidRPr="00F135F8">
        <w:rPr>
          <w:szCs w:val="20"/>
        </w:rPr>
        <w:fldChar w:fldCharType="end"/>
      </w:r>
    </w:p>
    <w:permEnd w:id="209"/>
    <w:p>
      <w:pPr>
        <w:pStyle w:val="Heading2"/>
        <w:divId w:val="307"/>
      </w:pPr>
      <w:bookmarkStart w:id="210" w:name="_Toc256000083"/>
      <w:r>
        <w:t>Referenzierte Dokumente</w:t>
      </w:r>
      <w:bookmarkEnd w:id="210"/>
    </w:p>
    <w:p>
      <w:pPr>
        <w:pStyle w:val="Heading3"/>
        <w:divId w:val="308"/>
      </w:pPr>
      <w:bookmarkStart w:id="211" w:name="_Toc256000084"/>
      <w:r>
        <w:t>Dokumente der gematik</w:t>
      </w:r>
      <w:bookmarkEnd w:id="211"/>
    </w:p>
    <w:p>
      <w:pPr>
        <w:divId w:val="309"/>
      </w:pPr>
      <w:r>
        <w:t>Die nachfolgende Tabelle enthält die Bezeichnung der in dem vorliegenden Dokument referenzierten Dokumente der gematik zur Telematikinfrastruktur.</w:t>
      </w:r>
    </w:p>
    <w:p>
      <w:pPr>
        <w:pStyle w:val="Caption"/>
        <w:keepNext/>
        <w:jc w:val="left"/>
      </w:pPr>
      <w:bookmarkStart w:id="212" w:name="_Toc256000098"/>
      <w:r>
        <w:t xml:space="preserve">Tabelle </w:t>
      </w:r>
      <w:r>
        <w:fldChar w:fldCharType="begin"/>
      </w:r>
      <w:r>
        <w:instrText xml:space="preserve"> SEQ Tabelle \* ARABIC </w:instrText>
      </w:r>
      <w:r>
        <w:fldChar w:fldCharType="separate"/>
      </w:r>
      <w:r>
        <w:t>10</w:t>
      </w:r>
      <w:r>
        <w:fldChar w:fldCharType="end"/>
      </w:r>
      <w:r>
        <w:t>: Referenzierte Dokumente der gematik</w:t>
      </w:r>
      <w:bookmarkEnd w:id="212"/>
    </w:p>
    <w:tbl>
      <w:tblPr>
        <w:tblStyle w:val="PolarionTableNormal"/>
        <w:tblW w:w="5000" w:type="pct"/>
        <w:jc w:val="center"/>
      </w:tblPr>
      <w:tblGrid>
        <w:gridCol w:w="1891"/>
        <w:gridCol w:w="7339"/>
      </w:tblGrid>
      <w:tr>
        <w:tblPrEx>
          <w:tblW w:w="5000" w:type="pct"/>
          <w:jc w:val="center"/>
        </w:tblPrEx>
        <w:trPr>
          <w:divId w:val="310"/>
          <w:trHeight w:val="300"/>
          <w:jc w:val="center"/>
        </w:trPr>
        <w:tc>
          <w:tcPr>
            <w:tcW w:w="2175" w:type="dxa"/>
            <w:tcBorders>
              <w:top w:val="single" w:sz="8" w:space="0" w:color="CCCCCC"/>
              <w:left w:val="single" w:sz="8" w:space="0" w:color="CCCCCC"/>
              <w:bottom w:val="single" w:sz="8" w:space="0" w:color="CCCCCC"/>
              <w:right w:val="single" w:sz="8" w:space="0" w:color="CCCCCC"/>
            </w:tcBorders>
            <w:shd w:val="clear" w:color="auto" w:fill="F0F0F0"/>
            <w:tcMar>
              <w:top w:w="80" w:type="dxa"/>
              <w:left w:w="80" w:type="dxa"/>
              <w:bottom w:w="80" w:type="dxa"/>
              <w:right w:w="80" w:type="dxa"/>
            </w:tcMar>
            <w:vAlign w:val="top"/>
          </w:tcPr>
          <w:p>
            <w:r>
              <w:rPr>
                <w:b/>
              </w:rPr>
              <w:t>[Quelle]</w:t>
            </w:r>
            <w:r>
              <w:br/>
            </w:r>
          </w:p>
        </w:tc>
        <w:tc>
          <w:tcPr>
            <w:tcW w:w="8730" w:type="dxa"/>
            <w:tcBorders>
              <w:top w:val="single" w:sz="8" w:space="0" w:color="CCCCCC"/>
              <w:left w:val="single" w:sz="8" w:space="0" w:color="CCCCCC"/>
              <w:bottom w:val="single" w:sz="8" w:space="0" w:color="CCCCCC"/>
              <w:right w:val="single" w:sz="8" w:space="0" w:color="CCCCCC"/>
            </w:tcBorders>
            <w:shd w:val="clear" w:color="auto" w:fill="F0F0F0"/>
            <w:tcMar>
              <w:top w:w="80" w:type="dxa"/>
              <w:left w:w="80" w:type="dxa"/>
              <w:bottom w:w="80" w:type="dxa"/>
              <w:right w:w="80" w:type="dxa"/>
            </w:tcMar>
            <w:vAlign w:val="top"/>
          </w:tcPr>
          <w:p>
            <w:r>
              <w:rPr>
                <w:b/>
              </w:rPr>
              <w:t>Herausgeber: Titel</w:t>
            </w:r>
            <w:r>
              <w:br/>
            </w:r>
          </w:p>
        </w:tc>
      </w:tr>
      <w:tr>
        <w:tblPrEx>
          <w:tblW w:w="5000" w:type="pct"/>
          <w:jc w:val="center"/>
        </w:tblPrEx>
        <w:trPr>
          <w:divId w:val="310"/>
          <w:trHeight w:val="300"/>
          <w:jc w:val="center"/>
        </w:trPr>
        <w:tc>
          <w:tcPr>
            <w:tcW w:w="217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[gemAPI_ZT]</w:t>
            </w:r>
          </w:p>
        </w:tc>
        <w:tc>
          <w:tcPr>
            <w:tcW w:w="873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gematik: OpenAPI Schnittstellenspezifikation Zero Trust</w:t>
            </w:r>
            <w:r>
              <w:br/>
            </w:r>
            <w:hyperlink r:id="rId27" w:history="1">
              <w:r>
                <w:rPr>
                  <w:color w:val="0000FF" w:themeColor="hyperlink"/>
                  <w:u w:val="single"/>
                </w:rPr>
                <w:t>https://github.com/gematik/spec-t20r</w:t>
              </w:r>
            </w:hyperlink>
            <w:r>
              <w:t> </w:t>
            </w:r>
          </w:p>
        </w:tc>
      </w:tr>
      <w:tr>
        <w:tblPrEx>
          <w:tblW w:w="5000" w:type="pct"/>
          <w:jc w:val="center"/>
        </w:tblPrEx>
        <w:trPr>
          <w:divId w:val="310"/>
          <w:trHeight w:val="300"/>
          <w:jc w:val="center"/>
        </w:trPr>
        <w:tc>
          <w:tcPr>
            <w:tcW w:w="217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[gemGlossar]</w:t>
            </w:r>
          </w:p>
        </w:tc>
        <w:tc>
          <w:tcPr>
            <w:tcW w:w="873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gematik: Glossar der Telematikinfrastruktur</w:t>
            </w:r>
          </w:p>
        </w:tc>
      </w:tr>
      <w:tr>
        <w:tblPrEx>
          <w:tblW w:w="5000" w:type="pct"/>
          <w:jc w:val="center"/>
        </w:tblPrEx>
        <w:trPr>
          <w:divId w:val="310"/>
          <w:trHeight w:val="300"/>
          <w:jc w:val="center"/>
        </w:trPr>
        <w:tc>
          <w:tcPr>
            <w:tcW w:w="217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[gemKPT_Betr]</w:t>
            </w:r>
          </w:p>
        </w:tc>
        <w:tc>
          <w:tcPr>
            <w:tcW w:w="873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gematik: Betriebskonzept Online-Produktivbetrieb</w:t>
            </w:r>
          </w:p>
        </w:tc>
      </w:tr>
      <w:tr>
        <w:tblPrEx>
          <w:tblW w:w="5000" w:type="pct"/>
          <w:jc w:val="center"/>
        </w:tblPrEx>
        <w:trPr>
          <w:divId w:val="310"/>
          <w:trHeight w:val="60"/>
          <w:jc w:val="center"/>
        </w:trPr>
        <w:tc>
          <w:tcPr>
            <w:tcW w:w="217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[gemKPT_Zero_Trust]</w:t>
            </w:r>
          </w:p>
        </w:tc>
        <w:tc>
          <w:tcPr>
            <w:tcW w:w="873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gematik: Feinkonzept Zero Trust</w:t>
            </w:r>
            <w:r>
              <w:br/>
            </w:r>
            <w:hyperlink r:id="rId30" w:history="1">
              <w:r>
                <w:rPr>
                  <w:color w:val="0000FF" w:themeColor="hyperlink"/>
                  <w:u w:val="single"/>
                </w:rPr>
                <w:t>https://fachportal.gematik.de/fileadmin/Fachportal/Downloadcenter/gemKPT_Zero_Trust_V1.0.0.pdf</w:t>
              </w:r>
            </w:hyperlink>
            <w:r>
              <w:t> </w:t>
            </w:r>
          </w:p>
        </w:tc>
      </w:tr>
      <w:tr>
        <w:tblPrEx>
          <w:tblW w:w="5000" w:type="pct"/>
          <w:jc w:val="center"/>
        </w:tblPrEx>
        <w:trPr>
          <w:divId w:val="310"/>
          <w:trHeight w:val="60"/>
          <w:jc w:val="center"/>
        </w:trPr>
        <w:tc>
          <w:tcPr>
            <w:tcW w:w="217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[gemSpec_DS_Hersteller]</w:t>
            </w:r>
          </w:p>
        </w:tc>
        <w:tc>
          <w:tcPr>
            <w:tcW w:w="873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gematik: Spezifikation Datenschutz- u. Sicherheitsanforderungen der TI an Hersteller</w:t>
            </w:r>
            <w:r>
              <w:br/>
            </w:r>
            <w:hyperlink r:id="rId31" w:history="1">
              <w:r>
                <w:rPr>
                  <w:color w:val="0000FF" w:themeColor="hyperlink"/>
                  <w:u w:val="single"/>
                </w:rPr>
                <w:t>https://gemspec.gematik.de/docs/gemSpec/gemSpec_DS_Hersteller/gemSpec_DS_Hersteller_V1.5.1/</w:t>
              </w:r>
            </w:hyperlink>
            <w:r>
              <w:t> </w:t>
            </w:r>
          </w:p>
        </w:tc>
      </w:tr>
      <w:tr>
        <w:tblPrEx>
          <w:tblW w:w="5000" w:type="pct"/>
          <w:jc w:val="center"/>
        </w:tblPrEx>
        <w:trPr>
          <w:divId w:val="310"/>
          <w:trHeight w:val="60"/>
          <w:jc w:val="center"/>
        </w:trPr>
        <w:tc>
          <w:tcPr>
            <w:tcW w:w="217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[gemSpec_IDP_Dienst]</w:t>
            </w:r>
          </w:p>
        </w:tc>
        <w:tc>
          <w:tcPr>
            <w:tcW w:w="873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gematik: Spezifikation Identity Provider-Dienst</w:t>
            </w:r>
            <w:r>
              <w:br/>
            </w:r>
            <w:hyperlink r:id="rId32" w:history="1">
              <w:r>
                <w:rPr>
                  <w:color w:val="0000FF" w:themeColor="hyperlink"/>
                  <w:u w:val="single"/>
                </w:rPr>
                <w:t>https://gemspec.gematik.de/docs/gemSpec/gemSpec_IDP_Dienst/gemSpec_IDP_Dienst_V1.6.0/</w:t>
              </w:r>
            </w:hyperlink>
            <w:r>
              <w:t xml:space="preserve">  </w:t>
            </w:r>
            <w:r>
              <w:commentReference w:id="213"/>
            </w:r>
            <w:r>
              <w:commentReference w:id="214"/>
            </w:r>
            <w:r>
              <w:commentReference w:id="215"/>
            </w:r>
            <w:r>
              <w:commentReference w:id="216"/>
            </w:r>
          </w:p>
        </w:tc>
      </w:tr>
      <w:tr>
        <w:tblPrEx>
          <w:tblW w:w="5000" w:type="pct"/>
          <w:jc w:val="center"/>
        </w:tblPrEx>
        <w:trPr>
          <w:divId w:val="310"/>
          <w:trHeight w:val="60"/>
          <w:jc w:val="center"/>
        </w:trPr>
        <w:tc>
          <w:tcPr>
            <w:tcW w:w="217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[gemSpec_IDP_Sek]</w:t>
            </w:r>
          </w:p>
        </w:tc>
        <w:tc>
          <w:tcPr>
            <w:tcW w:w="873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gematik: Spezifikation Sektoraler Identity Provider</w:t>
            </w:r>
            <w:r>
              <w:br/>
            </w:r>
            <w:hyperlink r:id="rId33" w:history="1">
              <w:r>
                <w:rPr>
                  <w:color w:val="0000FF" w:themeColor="hyperlink"/>
                  <w:u w:val="single"/>
                </w:rPr>
                <w:t>https://gemspec.gematik.de/docs/gemSpec/gemSpec_IDP_Sek/gemSpec_IDP_Sek_V2.3.0/</w:t>
              </w:r>
            </w:hyperlink>
            <w:r>
              <w:t> </w:t>
            </w:r>
          </w:p>
        </w:tc>
      </w:tr>
      <w:tr>
        <w:tblPrEx>
          <w:tblW w:w="5000" w:type="pct"/>
          <w:jc w:val="center"/>
        </w:tblPrEx>
        <w:trPr>
          <w:divId w:val="310"/>
          <w:trHeight w:val="60"/>
          <w:jc w:val="center"/>
        </w:trPr>
        <w:tc>
          <w:tcPr>
            <w:tcW w:w="217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[gemSpec_Krypt]</w:t>
            </w:r>
          </w:p>
        </w:tc>
        <w:tc>
          <w:tcPr>
            <w:tcW w:w="873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gematik: Übergreifende Spezifikation: Verwendung kryptographischer Algorithmen in der</w:t>
            </w:r>
            <w:r>
              <w:br/>
            </w:r>
            <w:r>
              <w:t>Telematikinfrastruktur</w:t>
            </w:r>
            <w:r>
              <w:br/>
            </w:r>
            <w:hyperlink r:id="rId34" w:history="1">
              <w:r>
                <w:rPr>
                  <w:color w:val="0000FF" w:themeColor="hyperlink"/>
                  <w:u w:val="single"/>
                </w:rPr>
                <w:t>https://gemspec.gematik.de/docs/gemSpec/gemSpec_Krypt/gemSpec_Krypt_V2.31.0/</w:t>
              </w:r>
            </w:hyperlink>
            <w:r>
              <w:t> </w:t>
            </w:r>
          </w:p>
        </w:tc>
      </w:tr>
      <w:tr>
        <w:tblPrEx>
          <w:tblW w:w="5000" w:type="pct"/>
          <w:jc w:val="center"/>
        </w:tblPrEx>
        <w:trPr>
          <w:divId w:val="310"/>
          <w:trHeight w:val="60"/>
          <w:jc w:val="center"/>
        </w:trPr>
        <w:tc>
          <w:tcPr>
            <w:tcW w:w="217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[gemSpec_Perf]</w:t>
            </w:r>
          </w:p>
        </w:tc>
        <w:tc>
          <w:tcPr>
            <w:tcW w:w="873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gematik: Übergreifende Spezifikation Performance und Mengengerüst TI-Plattform</w:t>
            </w:r>
          </w:p>
        </w:tc>
      </w:tr>
      <w:tr>
        <w:tblPrEx>
          <w:tblW w:w="5000" w:type="pct"/>
          <w:jc w:val="center"/>
        </w:tblPrEx>
        <w:trPr>
          <w:divId w:val="310"/>
          <w:trHeight w:val="60"/>
          <w:jc w:val="center"/>
        </w:trPr>
        <w:tc>
          <w:tcPr>
            <w:tcW w:w="2175"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[pip-pap-service.yaml]</w:t>
            </w:r>
          </w:p>
        </w:tc>
        <w:tc>
          <w:tcPr>
            <w:tcW w:w="873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gematik: OpenAPI Schnittstellenspezifikation für </w:t>
            </w:r>
            <w:r>
              <w:rPr>
                <w:sz w:val="20"/>
                <w:szCs w:val="20"/>
              </w:rPr>
              <w:t>Policy Information Point und Policy Administration Point API</w:t>
            </w:r>
            <w:r>
              <w:br/>
            </w:r>
            <w:hyperlink r:id="rId35" w:history="1">
              <w:r>
                <w:rPr>
                  <w:color w:val="0000FF" w:themeColor="hyperlink"/>
                  <w:sz w:val="20"/>
                  <w:szCs w:val="20"/>
                  <w:u w:val="single"/>
                </w:rPr>
                <w:t>https://raw.githubusercontent.com/gematik/spec-t20r/develop/src/openapi/pip-pap-api.yaml</w:t>
              </w:r>
            </w:hyperlink>
            <w:r>
              <w:rPr>
                <w:sz w:val="20"/>
                <w:szCs w:val="20"/>
              </w:rPr>
              <w:t> </w:t>
            </w:r>
          </w:p>
        </w:tc>
      </w:tr>
    </w:tbl>
    <w:p>
      <w:pPr>
        <w:pStyle w:val="Heading3"/>
        <w:divId w:val="311"/>
      </w:pPr>
      <w:bookmarkStart w:id="217" w:name="_Toc256000085"/>
      <w:r>
        <w:t>Weitere Referenzen</w:t>
      </w:r>
      <w:bookmarkEnd w:id="217"/>
    </w:p>
    <w:p>
      <w:pPr>
        <w:pStyle w:val="Caption"/>
        <w:keepNext/>
        <w:jc w:val="left"/>
      </w:pPr>
      <w:bookmarkStart w:id="218" w:name="_Toc256000099"/>
      <w:r>
        <w:t xml:space="preserve">Tabelle </w:t>
      </w:r>
      <w:r>
        <w:fldChar w:fldCharType="begin"/>
      </w:r>
      <w:r>
        <w:instrText xml:space="preserve"> SEQ Tabelle \* ARABIC </w:instrText>
      </w:r>
      <w:r>
        <w:fldChar w:fldCharType="separate"/>
      </w:r>
      <w:r>
        <w:t>11</w:t>
      </w:r>
      <w:r>
        <w:fldChar w:fldCharType="end"/>
      </w:r>
      <w:r>
        <w:t>: Weitere Referenzen</w:t>
      </w:r>
      <w:bookmarkEnd w:id="218"/>
    </w:p>
    <w:tbl>
      <w:tblPr>
        <w:tblStyle w:val="PolarionTableNormal"/>
        <w:tblW w:w="5000" w:type="pct"/>
        <w:jc w:val="center"/>
      </w:tblPr>
      <w:tblGrid>
        <w:gridCol w:w="1230"/>
        <w:gridCol w:w="8000"/>
      </w:tblGrid>
      <w:tr>
        <w:tblPrEx>
          <w:tblW w:w="5000" w:type="pct"/>
          <w:jc w:val="center"/>
        </w:tblPrEx>
        <w:trPr>
          <w:divId w:val="312"/>
          <w:trHeight w:val="300"/>
          <w:jc w:val="center"/>
        </w:trPr>
        <w:tc>
          <w:tcPr>
            <w:tcW w:w="2160" w:type="dxa"/>
            <w:tcBorders>
              <w:top w:val="single" w:sz="8" w:space="0" w:color="CCCCCC"/>
              <w:left w:val="single" w:sz="8" w:space="0" w:color="CCCCCC"/>
              <w:bottom w:val="single" w:sz="8" w:space="0" w:color="CCCCCC"/>
              <w:right w:val="single" w:sz="8" w:space="0" w:color="CCCCCC"/>
            </w:tcBorders>
            <w:shd w:val="clear" w:color="auto" w:fill="F0F0F0"/>
            <w:tcMar>
              <w:top w:w="80" w:type="dxa"/>
              <w:left w:w="80" w:type="dxa"/>
              <w:bottom w:w="80" w:type="dxa"/>
              <w:right w:w="80" w:type="dxa"/>
            </w:tcMar>
            <w:vAlign w:val="top"/>
          </w:tcPr>
          <w:p>
            <w:r>
              <w:rPr>
                <w:b/>
              </w:rPr>
              <w:t>[Quelle]</w:t>
            </w:r>
            <w:r>
              <w:br/>
            </w:r>
          </w:p>
        </w:tc>
        <w:tc>
          <w:tcPr>
            <w:tcW w:w="8800" w:type="dxa"/>
            <w:tcBorders>
              <w:top w:val="single" w:sz="8" w:space="0" w:color="CCCCCC"/>
              <w:left w:val="single" w:sz="8" w:space="0" w:color="CCCCCC"/>
              <w:bottom w:val="single" w:sz="8" w:space="0" w:color="CCCCCC"/>
              <w:right w:val="single" w:sz="8" w:space="0" w:color="CCCCCC"/>
            </w:tcBorders>
            <w:shd w:val="clear" w:color="auto" w:fill="F0F0F0"/>
            <w:tcMar>
              <w:top w:w="80" w:type="dxa"/>
              <w:left w:w="80" w:type="dxa"/>
              <w:bottom w:w="80" w:type="dxa"/>
              <w:right w:w="80" w:type="dxa"/>
            </w:tcMar>
            <w:vAlign w:val="top"/>
          </w:tcPr>
          <w:p>
            <w:r>
              <w:rPr>
                <w:b/>
              </w:rPr>
              <w:t>Herausgeber (Erscheinungsdatum): Titel</w:t>
            </w:r>
            <w:r>
              <w:br/>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[Android Platform Security Model]</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The Android Platform Security Model (2023)</w:t>
            </w:r>
            <w:r>
              <w:br/>
            </w:r>
            <w:hyperlink r:id="rId36" w:history="1">
              <w:r>
                <w:rPr>
                  <w:color w:val="0000FF" w:themeColor="hyperlink"/>
                  <w:u w:val="single"/>
                </w:rPr>
                <w:t>https://research.google/pubs/the-android-platform-security-model/</w:t>
              </w:r>
            </w:hyperlink>
            <w:r>
              <w:t> </w:t>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[Apple Platform Security Guide]</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Einführung in die Sicherheit der Apple-Plattformen</w:t>
            </w:r>
            <w:r>
              <w:br/>
            </w:r>
            <w:hyperlink r:id="rId37" w:history="1">
              <w:r>
                <w:rPr>
                  <w:color w:val="0000FF" w:themeColor="hyperlink"/>
                  <w:u w:val="single"/>
                </w:rPr>
                <w:t>https://support.apple.com/de-de/guide/security/seccd5016d31/web</w:t>
              </w:r>
            </w:hyperlink>
            <w:r>
              <w:t> </w:t>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[BSI-Grundschutz]</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IT-Grundschutz - Informationssicherheit mit System</w:t>
            </w:r>
            <w:r>
              <w:br/>
            </w:r>
            <w:hyperlink r:id="rId38" w:history="1">
              <w:r>
                <w:rPr>
                  <w:color w:val="0000FF" w:themeColor="hyperlink"/>
                  <w:u w:val="single"/>
                </w:rPr>
                <w:t>https://www.bsi.bund.de/DE/Themen/Unternehmen-und-Organisationen/Standards-und-Zertifizierung/IT-Grundschutz/it-grundschutz_node.html</w:t>
              </w:r>
            </w:hyperlink>
            <w:r>
              <w:t> </w:t>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[BSI-Prüfvorschrift]</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rPr>
                <w:color w:val="000000"/>
              </w:rPr>
              <w:t>Prüfvorschrift für den Produktgutachter des „ePA-Frontend des Versicherten“ und des „E-Rezept-Frontend des Versicherten.</w:t>
            </w:r>
            <w:r>
              <w:br/>
            </w:r>
            <w:r>
              <w:t xml:space="preserve"> </w:t>
            </w:r>
            <w:hyperlink r:id="rId39" w:history="1">
              <w:r>
                <w:rPr>
                  <w:color w:val="0000FF" w:themeColor="hyperlink"/>
                  <w:u w:val="single"/>
                </w:rPr>
                <w:t>https://www.bsi.bund.de/SharedDocs/Downloads/DE/BSI/DigitaleGesellschaft/Pruefvorschrift_Produktgutachter_ePA-Frontend.html</w:t>
              </w:r>
            </w:hyperlink>
            <w:r>
              <w:t> </w:t>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[CAB-Forum]</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Certification Authority Browser Forum (CA/Browser Forum)</w:t>
            </w:r>
            <w:r>
              <w:br/>
            </w:r>
            <w:hyperlink r:id="rId40" w:history="1">
              <w:r>
                <w:rPr>
                  <w:color w:val="0000FF" w:themeColor="hyperlink"/>
                  <w:u w:val="single"/>
                </w:rPr>
                <w:t>https://cabforum.org/</w:t>
              </w:r>
            </w:hyperlink>
            <w:r>
              <w:t> </w:t>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[CAPEC OWASP]</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rPr>
                <w:sz w:val="18"/>
                <w:szCs w:val="18"/>
              </w:rPr>
              <w:t>CAPEC: OWASP Related Patterns</w:t>
            </w:r>
            <w:r>
              <w:br/>
            </w:r>
            <w:hyperlink r:id="rId41" w:history="1">
              <w:r>
                <w:rPr>
                  <w:color w:val="0000FF" w:themeColor="hyperlink"/>
                  <w:sz w:val="18"/>
                  <w:szCs w:val="18"/>
                  <w:u w:val="single"/>
                </w:rPr>
                <w:t>CAPEC - CAPEC-659: OWASP Related Patterns (Version 3.9) (mitre.org)</w:t>
              </w:r>
            </w:hyperlink>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[ExpBack]</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Exponential Backoff</w:t>
            </w:r>
            <w:r>
              <w:br/>
            </w:r>
            <w:hyperlink r:id="rId42" w:history="1">
              <w:r>
                <w:rPr>
                  <w:color w:val="0000FF" w:themeColor="hyperlink"/>
                  <w:u w:val="single"/>
                </w:rPr>
                <w:t>https://en.wikipedia.org/wiki/Exponential_backoff</w:t>
              </w:r>
            </w:hyperlink>
            <w:r>
              <w:t> </w:t>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[GPI-API]</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Google Play Integrity API</w:t>
            </w:r>
            <w:r>
              <w:br/>
            </w:r>
            <w:hyperlink r:id="rId43" w:history="1">
              <w:r>
                <w:rPr>
                  <w:color w:val="0000FF" w:themeColor="hyperlink"/>
                  <w:u w:val="single"/>
                </w:rPr>
                <w:t>https://developer.android.com/google/play/integrity/standard</w:t>
              </w:r>
            </w:hyperlink>
            <w:r>
              <w:t> </w:t>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[ISMS]</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Spezifikation Datenschutz- und Sicherheitsanforderungen der TI an Anbieter (Abschnitt 3.3)</w:t>
            </w:r>
            <w:r>
              <w:br/>
            </w:r>
            <w:hyperlink r:id="rId44" w:history="1">
              <w:r>
                <w:rPr>
                  <w:color w:val="0000FF" w:themeColor="hyperlink"/>
                  <w:u w:val="single"/>
                </w:rPr>
                <w:t>https://gemspec.gematik.de/docs/gemSpec/gemSpec_DS_Anbieter/latest/#3.3</w:t>
              </w:r>
            </w:hyperlink>
            <w:r>
              <w:t> </w:t>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[OPA Bundle]</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Open Policy Agent, Bundles</w:t>
            </w:r>
            <w:r>
              <w:br/>
            </w:r>
            <w:hyperlink r:id="rId45" w:history="1">
              <w:r>
                <w:rPr>
                  <w:color w:val="0000FF" w:themeColor="hyperlink"/>
                  <w:u w:val="single"/>
                </w:rPr>
                <w:t>https://www.openpolicyagent.org/docs/latest/management-bundles/</w:t>
              </w:r>
            </w:hyperlink>
            <w:r>
              <w:t> </w:t>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[Open Policy Agent]</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Open Policy Agent</w:t>
            </w:r>
            <w:r>
              <w:br/>
            </w:r>
            <w:hyperlink r:id="rId46" w:history="1">
              <w:r>
                <w:rPr>
                  <w:color w:val="0000FF" w:themeColor="hyperlink"/>
                  <w:u w:val="single"/>
                </w:rPr>
                <w:t>https://www.openpolicyagent.org/docs/latest/</w:t>
              </w:r>
            </w:hyperlink>
            <w:r>
              <w:t> </w:t>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[OWASP-Top-10-Risiken]</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OWASP Top 10</w:t>
            </w:r>
            <w:r>
              <w:br/>
            </w:r>
            <w:hyperlink r:id="rId47" w:history="1">
              <w:r>
                <w:rPr>
                  <w:color w:val="0000FF" w:themeColor="hyperlink"/>
                  <w:u w:val="single"/>
                </w:rPr>
                <w:t>https://owasp.org/www-project-top-ten/</w:t>
              </w:r>
            </w:hyperlink>
            <w:r>
              <w:t> </w:t>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[TR-03161]</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BSI TR-03161 Anforderungen an Anwendungen im Gesundheitswesen</w:t>
            </w:r>
            <w:r>
              <w:br/>
            </w:r>
            <w:hyperlink r:id="rId48" w:history="1">
              <w:r>
                <w:rPr>
                  <w:color w:val="0000FF" w:themeColor="hyperlink"/>
                  <w:u w:val="single"/>
                </w:rPr>
                <w:t>https://www.bsi.bund.de/DE/Themen/Unternehmen-und-Organisationen/Standards-und-Zertifizierung/Technische-Richtlinien/TR-nach-Thema-sortiert/tr03161/tr-03161.html</w:t>
              </w:r>
            </w:hyperlink>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[RFC2119]</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Key words for use in RFCs to Indicate Requirement Levels</w:t>
            </w:r>
            <w:r>
              <w:br/>
            </w:r>
            <w:hyperlink r:id="rId49" w:history="1">
              <w:r>
                <w:rPr>
                  <w:color w:val="0000FF" w:themeColor="hyperlink"/>
                  <w:u w:val="single"/>
                </w:rPr>
                <w:t>https://datatracker.ietf.org/doc/html/rfc2119</w:t>
              </w:r>
            </w:hyperlink>
            <w:r>
              <w:t> </w:t>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[RFC2986]</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PKCS #10: Certification Request Syntax Specification</w:t>
            </w:r>
            <w:r>
              <w:br/>
            </w:r>
            <w:hyperlink r:id="rId50" w:history="1">
              <w:r>
                <w:rPr>
                  <w:color w:val="0000FF" w:themeColor="hyperlink"/>
                  <w:u w:val="single"/>
                </w:rPr>
                <w:t>https://datatracker.ietf.org/doc/html/rfc2986</w:t>
              </w:r>
            </w:hyperlink>
            <w:r>
              <w:t> </w:t>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w:t>
            </w:r>
            <w:r>
              <w:rPr>
                <w:color w:val="212529"/>
                <w:sz w:val="20"/>
                <w:szCs w:val="20"/>
                <w:shd w:val="clear" w:color="auto" w:fill="FFFFFF"/>
              </w:rPr>
              <w:t>RFC6749]</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The OAuth 2.0 Authorization Framework</w:t>
            </w:r>
            <w:r>
              <w:br/>
            </w:r>
            <w:hyperlink r:id="rId51" w:history="1">
              <w:r>
                <w:rPr>
                  <w:color w:val="0000FF" w:themeColor="hyperlink"/>
                  <w:u w:val="single"/>
                </w:rPr>
                <w:t>https://datatracker.ietf.org/doc/html/rfc6749</w:t>
              </w:r>
            </w:hyperlink>
            <w:r>
              <w:t> </w:t>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rPr>
                <w:sz w:val="20"/>
                <w:szCs w:val="20"/>
              </w:rPr>
              <w:t>[RFC7231]</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Hypertext Transfer Protocol (http/1.1): Semantics and Content</w:t>
            </w:r>
            <w:r>
              <w:br/>
            </w:r>
            <w:hyperlink r:id="rId52" w:history="1">
              <w:r>
                <w:rPr>
                  <w:color w:val="0000FF" w:themeColor="hyperlink"/>
                  <w:u w:val="single"/>
                </w:rPr>
                <w:t>https://datatracker.ietf.org/doc/html/rfc7231</w:t>
              </w:r>
            </w:hyperlink>
            <w:r>
              <w:t> </w:t>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[RFC7521]</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Assertion Framework for OAuth 2.0 Client Authentication and Authorization Grants</w:t>
            </w:r>
            <w:r>
              <w:br/>
            </w:r>
            <w:hyperlink r:id="rId53" w:history="1">
              <w:r>
                <w:rPr>
                  <w:color w:val="0000FF" w:themeColor="hyperlink"/>
                  <w:u w:val="single"/>
                </w:rPr>
                <w:t>https://datatracker.ietf.org/doc/html/rfc7521</w:t>
              </w:r>
            </w:hyperlink>
            <w:r>
              <w:t> </w:t>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[RFC7523]</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JSON Web Token (JWT) Profile for OAuth 2.0 Client Authentication and Authorization Grants</w:t>
            </w:r>
            <w:r>
              <w:br/>
            </w:r>
            <w:hyperlink r:id="rId54" w:history="1">
              <w:r>
                <w:rPr>
                  <w:color w:val="0000FF" w:themeColor="hyperlink"/>
                  <w:u w:val="single"/>
                </w:rPr>
                <w:t>https://datatracker.ietf.org/doc/html/rfc7523</w:t>
              </w:r>
            </w:hyperlink>
            <w:r>
              <w:t> </w:t>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[RFC7636]</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Proof Key for Code Exchange by OAuth Public Clients</w:t>
            </w:r>
            <w:r>
              <w:br/>
            </w:r>
            <w:hyperlink r:id="rId55" w:history="1">
              <w:r>
                <w:rPr>
                  <w:color w:val="0000FF" w:themeColor="hyperlink"/>
                  <w:u w:val="single"/>
                </w:rPr>
                <w:t>https://datatracker.ietf.org/doc/html/rfc7636</w:t>
              </w:r>
            </w:hyperlink>
            <w:r>
              <w:t> </w:t>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[RFC8555]</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 xml:space="preserve">Automatic Certificate Management Environment (ACME) </w:t>
            </w:r>
            <w:hyperlink r:id="rId56" w:history="1">
              <w:r>
                <w:rPr>
                  <w:color w:val="0000FF" w:themeColor="hyperlink"/>
                  <w:u w:val="single"/>
                </w:rPr>
                <w:t>https://datatracker.ietf.org/doc/html/rfc8555#section-6.5.1</w:t>
              </w:r>
            </w:hyperlink>
            <w:r>
              <w:t> </w:t>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[RFC8705]</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OAuth 2.0 Mutual-TLS Client Authentication and Certificate-Bound Access Tokens</w:t>
            </w:r>
            <w:r>
              <w:br/>
            </w:r>
            <w:hyperlink r:id="rId57" w:history="1">
              <w:r>
                <w:rPr>
                  <w:color w:val="0000FF" w:themeColor="hyperlink"/>
                  <w:u w:val="single"/>
                </w:rPr>
                <w:t>https://datatracker.ietf.org/doc/html/rfc8705</w:t>
              </w:r>
            </w:hyperlink>
            <w:r>
              <w:t> </w:t>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[RFC9449]</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OAuth 2.0 Demonstrating Proof of Possession (DPoP)</w:t>
            </w:r>
            <w:r>
              <w:br/>
            </w:r>
            <w:hyperlink r:id="rId58" w:history="1">
              <w:r>
                <w:rPr>
                  <w:color w:val="0000FF" w:themeColor="hyperlink"/>
                  <w:u w:val="single"/>
                </w:rPr>
                <w:t>https://datatracker.ietf.org/doc/html/rfc9449</w:t>
              </w:r>
            </w:hyperlink>
            <w:r>
              <w:t> </w:t>
            </w:r>
          </w:p>
        </w:tc>
      </w:tr>
      <w:tr>
        <w:tblPrEx>
          <w:tblW w:w="5000" w:type="pct"/>
          <w:jc w:val="center"/>
        </w:tblPrEx>
        <w:trPr>
          <w:divId w:val="312"/>
          <w:trHeight w:val="280"/>
          <w:jc w:val="center"/>
        </w:trPr>
        <w:tc>
          <w:tcPr>
            <w:tcW w:w="216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[VerifiedBoot]</w:t>
            </w:r>
          </w:p>
        </w:tc>
        <w:tc>
          <w:tcPr>
            <w:tcW w:w="8800" w:type="dxa"/>
            <w:tcBorders>
              <w:top w:val="single" w:sz="8" w:space="0" w:color="CCCCCC"/>
              <w:left w:val="single" w:sz="8" w:space="0" w:color="CCCCCC"/>
              <w:bottom w:val="single" w:sz="8" w:space="0" w:color="CCCCCC"/>
              <w:right w:val="single" w:sz="8" w:space="0" w:color="CCCCCC"/>
            </w:tcBorders>
            <w:tcMar>
              <w:top w:w="80" w:type="dxa"/>
              <w:left w:w="80" w:type="dxa"/>
              <w:bottom w:w="80" w:type="dxa"/>
              <w:right w:w="80" w:type="dxa"/>
            </w:tcMar>
            <w:vAlign w:val="top"/>
          </w:tcPr>
          <w:p>
            <w:r>
              <w:t>Verifizierter Start</w:t>
            </w:r>
            <w:r>
              <w:br/>
            </w:r>
            <w:hyperlink r:id="rId59" w:history="1">
              <w:r>
                <w:rPr>
                  <w:color w:val="0000FF" w:themeColor="hyperlink"/>
                  <w:u w:val="single"/>
                </w:rPr>
                <w:t>https://source.android.com/docs/security/features/verifiedboot?hl=de</w:t>
              </w:r>
            </w:hyperlink>
            <w:r>
              <w:t> </w:t>
            </w:r>
          </w:p>
        </w:tc>
      </w:tr>
    </w:tbl>
    <w:p>
      <w:pPr>
        <w:divId w:val="313"/>
      </w:pPr>
      <w:r>
        <w:t>​​</w:t>
      </w:r>
    </w:p>
    <w:p>
      <w:pPr>
        <w:divId w:val="314"/>
      </w:pPr>
      <w:r>
        <w:t>​​</w:t>
      </w:r>
    </w:p>
    <w:sectPr w:rsidSect="0028108D">
      <w:headerReference w:type="default" r:id="rId60"/>
      <w:footerReference w:type="default" r:id="rId61"/>
      <w:headerReference w:type="first" r:id="rId62"/>
      <w:footerReference w:type="first" r:id="rId63"/>
      <w:pgSz w:w="11906" w:h="16838" w:code="9"/>
      <w:pgMar w:top="1701" w:right="1418" w:bottom="1588" w:left="1418" w:header="850" w:footer="369" w:gutter="0"/>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Plagens, Christian" w:date="2024-06-06T14:38:19Z" w:initials="cp">
    <w:p>
      <w:r>
        <w:rPr>
          <w:vanish/>
        </w:rPr>
        <w:t>161</w:t>
      </w:r>
      <w:r>
        <w:t>KBV_01</w:t>
      </w:r>
    </w:p>
  </w:comment>
  <w:comment w:id="11" w:author="Plagens, Christian" w:date="2024-05-16T09:51:15Z" w:initials="cp">
    <w:p>
      <w:r>
        <w:rPr>
          <w:vanish/>
        </w:rPr>
        <w:t>111</w:t>
      </w:r>
      <w:r>
        <w:t>BSI_01</w:t>
      </w:r>
    </w:p>
  </w:comment>
  <w:comment w:id="13" w:author="Plagens, Christian" w:date="2024-05-16T09:51:15Z" w:initials="cp">
    <w:p>
      <w:r>
        <w:rPr>
          <w:vanish/>
        </w:rPr>
        <w:t>112</w:t>
      </w:r>
      <w:r>
        <w:t>BSI_02</w:t>
      </w:r>
    </w:p>
  </w:comment>
  <w:comment w:id="14" w:author="Plagens, Christian" w:date="2024-06-06T15:05:52Z" w:initials="cp">
    <w:p>
      <w:r>
        <w:rPr>
          <w:vanish/>
        </w:rPr>
        <w:t>164</w:t>
      </w:r>
      <w:r>
        <w:t>KZBV_03</w:t>
      </w:r>
    </w:p>
  </w:comment>
  <w:comment w:id="18" w:author="Plagens, Christian" w:date="2024-06-06T15:05:52Z" w:initials="cp">
    <w:p>
      <w:r>
        <w:rPr>
          <w:vanish/>
        </w:rPr>
        <w:t>165</w:t>
      </w:r>
      <w:r>
        <w:t>KZBV_04</w:t>
      </w:r>
    </w:p>
  </w:comment>
  <w:comment w:id="19" w:author="Plagens, Christian" w:date="2024-06-06T15:07:27Z" w:initials="cp">
    <w:p>
      <w:r>
        <w:rPr>
          <w:vanish/>
        </w:rPr>
        <w:t>167</w:t>
      </w:r>
      <w:r>
        <w:t>KZBV_05</w:t>
      </w:r>
    </w:p>
  </w:comment>
  <w:comment w:id="21" w:author="Plagens, Christian" w:date="2024-06-06T15:17:46Z" w:initials="cp">
    <w:p>
      <w:r>
        <w:rPr>
          <w:vanish/>
        </w:rPr>
        <w:t>169</w:t>
      </w:r>
      <w:r>
        <w:t>KZBV_06</w:t>
      </w:r>
    </w:p>
  </w:comment>
  <w:comment w:id="29" w:author="Plagens, Christian" w:date="2024-05-16T09:58:42Z" w:initials="cp">
    <w:p>
      <w:r>
        <w:rPr>
          <w:vanish/>
        </w:rPr>
        <w:t>113</w:t>
      </w:r>
      <w:r>
        <w:t>BSI_03</w:t>
      </w:r>
    </w:p>
  </w:comment>
  <w:comment w:id="33" w:author="Plagens, Christian" w:date="2024-06-06T15:37:42Z" w:initials="cp">
    <w:p>
      <w:r>
        <w:rPr>
          <w:vanish/>
        </w:rPr>
        <w:t>175</w:t>
      </w:r>
      <w:r>
        <w:t>KZBV_08</w:t>
      </w:r>
    </w:p>
  </w:comment>
  <w:comment w:id="36" w:author="Plagens, Christian" w:date="2024-06-06T11:43:48Z" w:initials="cp">
    <w:p>
      <w:r>
        <w:rPr>
          <w:vanish/>
        </w:rPr>
        <w:t>148</w:t>
      </w:r>
      <w:r>
        <w:t>GKV-SV_04</w:t>
      </w:r>
    </w:p>
  </w:comment>
  <w:comment w:id="38" w:author="Ohlendorf, Tim" w:date="2024-04-11T14:18:37Z" w:initials="OT">
    <w:p>
      <w:r>
        <w:rPr>
          <w:vanish/>
        </w:rPr>
        <w:t>76</w:t>
      </w:r>
      <w:r>
        <w:t>durch</w:t>
      </w:r>
    </w:p>
  </w:comment>
  <w:comment w:id="40" w:author="Plagens, Christian" w:date="2024-06-06T15:04:01Z" w:initials="cp">
    <w:p>
      <w:r>
        <w:rPr>
          <w:vanish/>
        </w:rPr>
        <w:t>163</w:t>
      </w:r>
      <w:r>
        <w:t>KZBV_02</w:t>
      </w:r>
    </w:p>
  </w:comment>
  <w:comment w:id="41" w:author="Plagens, Christian" w:date="2024-06-06T11:56:53Z" w:initials="cp">
    <w:p>
      <w:r>
        <w:rPr>
          <w:vanish/>
        </w:rPr>
        <w:t>149</w:t>
      </w:r>
      <w:r>
        <w:t>GKV-SV_06</w:t>
      </w:r>
    </w:p>
  </w:comment>
  <w:comment w:id="43" w:author="Plagens, Christian" w:date="2024-06-06T13:43:30Z" w:initials="cp">
    <w:p>
      <w:r>
        <w:rPr>
          <w:vanish/>
        </w:rPr>
        <w:t>154</w:t>
      </w:r>
      <w:r>
        <w:t>GKV-SV_09</w:t>
      </w:r>
    </w:p>
  </w:comment>
  <w:comment w:id="45" w:author="Plagens, Christian" w:date="2024-05-16T09:58:42Z" w:initials="cp">
    <w:p>
      <w:r>
        <w:rPr>
          <w:vanish/>
        </w:rPr>
        <w:t>114</w:t>
      </w:r>
      <w:r>
        <w:t>BSI_06</w:t>
      </w:r>
    </w:p>
  </w:comment>
  <w:comment w:id="46" w:author="Plagens, Christian" w:date="2024-05-16T10:21:15Z" w:initials="cp">
    <w:p>
      <w:r>
        <w:rPr>
          <w:vanish/>
        </w:rPr>
        <w:t>115</w:t>
      </w:r>
      <w:r>
        <w:t>BSI_07</w:t>
      </w:r>
    </w:p>
  </w:comment>
  <w:comment w:id="48" w:author="Ohlendorf, Tim" w:date="2024-04-11T14:18:37Z" w:initials="OT">
    <w:p>
      <w:r>
        <w:rPr>
          <w:vanish/>
        </w:rPr>
        <w:t>78</w:t>
      </w:r>
      <w:r>
        <w:t>der Trust Client ist nicht per se vertrauenswürdig. Er ermöglicht die Kommunikation mit der ZTA und führt die Attestierungen durch.</w:t>
      </w:r>
    </w:p>
  </w:comment>
  <w:comment w:id="49" w:author="Ohlendorf, Tim" w:date="2024-04-11T14:18:37Z" w:initials="OT">
    <w:p>
      <w:r>
        <w:rPr>
          <w:vanish/>
        </w:rPr>
        <w:t>79</w:t>
      </w:r>
      <w:r>
        <w:t>... und integere / authentische Anwendungslogik. Was ist mit OS / FW / HW?</w:t>
      </w:r>
    </w:p>
  </w:comment>
  <w:comment w:id="50" w:author="Ohlendorf, Tim" w:date="2024-04-11T14:18:37Z" w:initials="OT">
    <w:p>
      <w:r>
        <w:rPr>
          <w:vanish/>
        </w:rPr>
        <w:t>80</w:t>
      </w:r>
      <w:r>
        <w:t>der Trust Client an sich reicht nicht. Es geht um die gesamte Anwendung &amp; das Gerät-</w:t>
      </w:r>
    </w:p>
  </w:comment>
  <w:comment w:id="53" w:author="McAllister, Stephen" w:date="2024-03-06T14:17:35Z" w:initials="MS">
    <w:p>
      <w:r>
        <w:rPr>
          <w:vanish/>
        </w:rPr>
        <w:t>2</w:t>
      </w:r>
      <w:r>
        <w:t>Was ist mit einen Lokale Speicherung/Cache von PIP Daten. Wollen wir so was direkt in der Spec fordern?</w:t>
      </w:r>
    </w:p>
  </w:comment>
  <w:comment w:id="54" w:author="Plagens, Christian" w:date="2024-03-21T10:47:48Z" w:initials="cp">
    <w:p>
      <w:r>
        <w:rPr>
          <w:vanish/>
        </w:rPr>
        <w:t>7</w:t>
      </w:r>
      <w:r>
        <w:t>Vorschlag: letzten Satz löschen. Wenn andere Daten-Quellen für den PDP benötigt werden, dann werden die beim PDP definiert.</w:t>
      </w:r>
    </w:p>
  </w:comment>
  <w:comment w:id="56" w:author="Plagens, Christian" w:date="2024-06-06T15:37:42Z" w:initials="cp">
    <w:p>
      <w:r>
        <w:rPr>
          <w:vanish/>
        </w:rPr>
        <w:t>176</w:t>
      </w:r>
      <w:r>
        <w:t>KZBV_12</w:t>
      </w:r>
    </w:p>
  </w:comment>
  <w:comment w:id="59" w:author="Plagens, Christian" w:date="2024-06-06T15:40:16Z" w:initials="cp">
    <w:p>
      <w:r>
        <w:rPr>
          <w:vanish/>
        </w:rPr>
        <w:t>177</w:t>
      </w:r>
      <w:r>
        <w:t>KZBV_13</w:t>
      </w:r>
    </w:p>
  </w:comment>
  <w:comment w:id="62" w:author="Ohlendorf, Tim" w:date="2024-05-14T15:59:42Z" w:initials="OT">
    <w:p>
      <w:r>
        <w:rPr>
          <w:vanish/>
        </w:rPr>
        <w:t>108</w:t>
      </w:r>
      <w:r>
        <w:t>verifizierte Appinfos fehlen (AttestationApplicationId in key attestation), essenziell um app authentizität zu prüfen, ist optional wird aber meistens mitgeliefert</w:t>
      </w:r>
    </w:p>
  </w:comment>
  <w:comment w:id="64" w:author="Ohlendorf, Tim" w:date="2024-05-14T15:59:42Z" w:initials="OT">
    <w:p>
      <w:r>
        <w:rPr>
          <w:vanish/>
        </w:rPr>
        <w:t>107</w:t>
      </w:r>
      <w:r>
        <w:t>System Passcode / Passwort gesetzt fehlt</w:t>
      </w:r>
    </w:p>
  </w:comment>
  <w:comment w:id="68" w:author="Ohlendorf, Tim" w:date="2024-04-15T11:28:24Z" w:initials="OT">
    <w:p>
      <w:r>
        <w:rPr>
          <w:vanish/>
        </w:rPr>
        <w:t>81</w:t>
      </w:r>
      <w:r>
        <w:t>Ist hiermit das Shared Signals Framework der OIDF gemeint? https://sharedsignals.guide/</w:t>
      </w:r>
    </w:p>
  </w:comment>
  <w:comment w:id="70" w:author="Thiel, Christoph" w:date="2024-05-28T13:53:14Z" w:initials="CTH">
    <w:p>
      <w:r>
        <w:rPr>
          <w:vanish/>
        </w:rPr>
        <w:t>128</w:t>
      </w:r>
      <w:r>
        <w:t>Wie bringen wir am besten das Thema ein, dass wir per Auftrag an eine zentrale Komponente liefern lassen (personenbezogene Daten tlw. auch)?</w:t>
      </w:r>
    </w:p>
  </w:comment>
  <w:comment w:id="72" w:author="Plagens, Christian" w:date="2024-05-16T10:21:15Z" w:initials="cp">
    <w:p>
      <w:r>
        <w:rPr>
          <w:vanish/>
        </w:rPr>
        <w:t>116</w:t>
      </w:r>
      <w:r>
        <w:t>BSI_10</w:t>
      </w:r>
    </w:p>
  </w:comment>
  <w:comment w:id="73" w:author="Ohlendorf, Tim" w:date="2024-04-15T11:28:25Z" w:initials="OT">
    <w:p>
      <w:r>
        <w:rPr>
          <w:vanish/>
        </w:rPr>
        <w:t>82</w:t>
      </w:r>
      <w:r>
        <w:t>Kann der PEP explizit andere / höherwertiges Auth bei IDP anfragen? Step-Up-Authentifizierung sollte nochmal mit PT IDM abgestimmt werden, da evtl. widersprüchlich zum einheitlichen Auth auf gematik-ehealth-loa-high/-substantial</w:t>
      </w:r>
    </w:p>
  </w:comment>
  <w:comment w:id="77" w:author="Plagens, Christian" w:date="2024-06-06T13:57:08Z" w:initials="cp">
    <w:p>
      <w:r>
        <w:rPr>
          <w:vanish/>
        </w:rPr>
        <w:t>155</w:t>
      </w:r>
      <w:r>
        <w:t>GKV-SV_10</w:t>
      </w:r>
    </w:p>
  </w:comment>
  <w:comment w:id="78" w:author="Ohlendorf, Tim" w:date="2024-04-15T11:28:25Z" w:initials="OT">
    <w:p>
      <w:r>
        <w:rPr>
          <w:vanish/>
        </w:rPr>
        <w:t>83</w:t>
      </w:r>
      <w:r>
        <w:t>Policy Bundles = Daten? Falls ja, dann würde Vertraulichkeit hier kontraproduktiv sein.</w:t>
      </w:r>
    </w:p>
  </w:comment>
  <w:comment w:id="79" w:author="Ohlendorf, Tim" w:date="2024-04-15T11:28:25Z" w:initials="OT">
    <w:p>
      <w:r>
        <w:rPr>
          <w:vanish/>
        </w:rPr>
        <w:t>84</w:t>
      </w:r>
      <w:r>
        <w:t>evtl. noch ergänzen,das Schutz nur umgesetzt werden muss, wenn Risiko relevant ist.</w:t>
      </w:r>
    </w:p>
  </w:comment>
  <w:comment w:id="80" w:author="Ohlendorf, Tim" w:date="2024-04-15T11:28:25Z" w:initials="OT">
    <w:p>
      <w:r>
        <w:rPr>
          <w:vanish/>
        </w:rPr>
        <w:t>85</w:t>
      </w:r>
      <w:r>
        <w:t>Wirklich alle Komponenten?</w:t>
      </w:r>
    </w:p>
  </w:comment>
  <w:comment w:id="81" w:author="Ohlendorf, Tim" w:date="2024-04-15T11:28:25Z" w:initials="OT">
    <w:p>
      <w:r>
        <w:rPr>
          <w:vanish/>
        </w:rPr>
        <w:t>86</w:t>
      </w:r>
      <w:r>
        <w:t>Was sind hier Drittanbieter? Zu pauschal? Evtl. Komponenten eingrenzen.</w:t>
      </w:r>
    </w:p>
  </w:comment>
  <w:comment w:id="84" w:author="Plagens, Christian" w:date="2024-06-06T16:10:12Z" w:initials="cp">
    <w:p>
      <w:r>
        <w:rPr>
          <w:vanish/>
        </w:rPr>
        <w:t>178</w:t>
      </w:r>
      <w:r>
        <w:t>KZBV_18</w:t>
      </w:r>
    </w:p>
  </w:comment>
  <w:comment w:id="85" w:author="Plagens, Christian" w:date="2024-05-16T10:38:54Z" w:initials="cp">
    <w:p>
      <w:r>
        <w:rPr>
          <w:vanish/>
        </w:rPr>
        <w:t>117</w:t>
      </w:r>
      <w:r>
        <w:t>BSI_13</w:t>
      </w:r>
    </w:p>
  </w:comment>
  <w:comment w:id="86" w:author="Plagens, Christian" w:date="2024-05-16T10:47:59Z" w:initials="cp">
    <w:p>
      <w:r>
        <w:rPr>
          <w:vanish/>
        </w:rPr>
        <w:t>118</w:t>
      </w:r>
      <w:r>
        <w:t>BSI_14</w:t>
      </w:r>
    </w:p>
  </w:comment>
  <w:comment w:id="88" w:author="Plagens, Christian" w:date="2024-06-06T15:11:48Z" w:initials="cp">
    <w:p>
      <w:r>
        <w:rPr>
          <w:vanish/>
        </w:rPr>
        <w:t>168</w:t>
      </w:r>
      <w:r>
        <w:t>GKV-SV_12</w:t>
      </w:r>
    </w:p>
  </w:comment>
  <w:comment w:id="89" w:author="Hammerschmidt, Michael" w:date="2024-04-09T15:28:59Z" w:initials="HM">
    <w:p>
      <w:r>
        <w:rPr>
          <w:vanish/>
        </w:rPr>
        <w:t>45</w:t>
      </w:r>
      <w:r>
        <w:t>In Testumgebungen möchte ich das steuern können, da muss ich an die Sachen auch unverschlüsselt und nach Möglichkeit ohne HSM oder die privaten Schlüssel kennen. Wo passt das hin?</w:t>
      </w:r>
    </w:p>
  </w:comment>
  <w:comment w:id="90" w:author="McAllister, Stephen" w:date="2024-05-31T11:46:47Z" w:initials="MS">
    <w:p>
      <w:r>
        <w:rPr>
          <w:vanish/>
        </w:rPr>
        <w:t>135</w:t>
      </w:r>
      <w:r>
        <w:t>ich weis nicht. M.E. muss man in Test kein HSM benutzen oder zumindest mit bekannten Schlüssel arbeiten können. Egal wie man im Test mit dem Schlüssel umgeht, brauchen wir den Schutz im Prod =&gt; deswegen die Afo. Bzgl. Auftragnehmer - dafür gibt es der LB.</w:t>
      </w:r>
    </w:p>
  </w:comment>
  <w:comment w:id="91" w:author="Jablonski, Hendrik" w:date="2024-04-10T13:05:49Z" w:initials="JH">
    <w:p>
      <w:r>
        <w:rPr>
          <w:vanish/>
        </w:rPr>
        <w:t>55</w:t>
      </w:r>
      <w:r>
        <w:t>siehe unten Testunterstützung, tbd. Größtes Problem bei der SourceCode-Lieferung eRezept-Fachdienst war, die SDK für HSM-Zugriffe sind nicht OpenSource, durften nicht rausgegeben werden. Hängt an der Ausschreibung, Auftragnehmer verkauft HIER keine Betriebsleistung sondern liefert lauffähige Container = quasi as Code, keine Hardware... müssen wir begleitend klären, Disclaimer unten eingefügt</w:t>
      </w:r>
    </w:p>
  </w:comment>
  <w:comment w:id="93" w:author="Plagens, Christian" w:date="2024-05-17T11:14:55Z" w:initials="cp">
    <w:p>
      <w:r>
        <w:rPr>
          <w:vanish/>
        </w:rPr>
        <w:t>122</w:t>
      </w:r>
      <w:r>
        <w:t>BSI_26</w:t>
      </w:r>
    </w:p>
  </w:comment>
  <w:comment w:id="96" w:author="Plagens, Christian" w:date="2024-05-17T11:22:01Z" w:initials="cp">
    <w:p>
      <w:r>
        <w:rPr>
          <w:vanish/>
        </w:rPr>
        <w:t>124</w:t>
      </w:r>
      <w:r>
        <w:t>BSI_27</w:t>
      </w:r>
    </w:p>
  </w:comment>
  <w:comment w:id="97" w:author="Plagens, Christian" w:date="2024-06-06T16:11:59Z" w:initials="cp">
    <w:p>
      <w:r>
        <w:rPr>
          <w:vanish/>
        </w:rPr>
        <w:t>179</w:t>
      </w:r>
      <w:r>
        <w:t>KZBV_23</w:t>
      </w:r>
    </w:p>
  </w:comment>
  <w:comment w:id="98" w:author="Ohlendorf, Tim" w:date="2024-04-15T11:59:18Z" w:initials="OT">
    <w:p>
      <w:r>
        <w:rPr>
          <w:vanish/>
        </w:rPr>
        <w:t>92</w:t>
      </w:r>
      <w:r>
        <w:t>Ist dies Produkt ID ZT spezifisch? Hier brauchen wir ja eigentlich Hashwerte der Apps / signing certs des Entwicklers</w:t>
      </w:r>
    </w:p>
  </w:comment>
  <w:comment w:id="99" w:author="Plagens, Christian" w:date="2024-05-16T10:51:54Z" w:initials="cp">
    <w:p>
      <w:r>
        <w:rPr>
          <w:vanish/>
        </w:rPr>
        <w:t>119</w:t>
      </w:r>
      <w:r>
        <w:t>BSI_15</w:t>
      </w:r>
    </w:p>
  </w:comment>
  <w:comment w:id="100" w:author="Ohlendorf, Tim" w:date="2024-04-15T11:59:18Z" w:initials="OT">
    <w:p>
      <w:r>
        <w:rPr>
          <w:vanish/>
        </w:rPr>
        <w:t>91</w:t>
      </w:r>
      <w:r>
        <w:t>Diese Anforderung verstehe ich nicht... Gehts hier um die Bereitstellung der decryption keys / API auth secrets für play integrity? Ich dachte wir machen nur Key &amp; ID Attestation?</w:t>
      </w:r>
    </w:p>
  </w:comment>
  <w:comment w:id="102" w:author="Ohlendorf, Tim" w:date="2024-04-15T14:10:54Z" w:initials="OT">
    <w:p>
      <w:r>
        <w:rPr>
          <w:vanish/>
        </w:rPr>
        <w:t>93</w:t>
      </w:r>
      <w:r>
        <w:t>Ist diese Information noch nötig, da sie in Zukunft in device cert attestiert ist?</w:t>
      </w:r>
    </w:p>
  </w:comment>
  <w:comment w:id="103" w:author="Thiel, Christoph" w:date="2024-06-04T14:37:20Z" w:initials="CTH">
    <w:p>
      <w:r>
        <w:rPr>
          <w:vanish/>
        </w:rPr>
        <w:t>143</w:t>
      </w:r>
      <w:r>
        <w:t>Sofern das für PVS wie für FdVs etc. gilt, wäre das auch OK - dann können wir die Prüfung auf Policy-Ebene wegführen und nur auf diese "Mindestvoraussetzungen" eingehen - wie eine Teilnahme möglich werden kann.</w:t>
      </w:r>
    </w:p>
  </w:comment>
  <w:comment w:id="104" w:author="Ohlendorf, Tim" w:date="2024-04-15T14:28:41Z" w:initials="OT">
    <w:p>
      <w:r>
        <w:rPr>
          <w:vanish/>
        </w:rPr>
        <w:t>101</w:t>
      </w:r>
      <w:r>
        <w:t>Ist das noch relevant, da die belastbaren Aussagen dazu nun im device cert stehen?</w:t>
      </w:r>
    </w:p>
  </w:comment>
  <w:comment w:id="105" w:author="Ohlendorf, Tim" w:date="2024-04-15T14:28:41Z" w:initials="OT">
    <w:p>
      <w:r>
        <w:rPr>
          <w:vanish/>
        </w:rPr>
        <w:t>102</w:t>
      </w:r>
      <w:r>
        <w:t>Gilt das auch für das client cert / device cert? Falls ja, gibt das nicht Probleme beim renewal eines bereits agelaufenen device certs?</w:t>
      </w:r>
    </w:p>
  </w:comment>
  <w:comment w:id="106" w:author="Ohlendorf, Tim" w:date="2024-04-15T14:10:54Z" w:initials="OT">
    <w:p>
      <w:r>
        <w:rPr>
          <w:vanish/>
        </w:rPr>
        <w:t>94</w:t>
      </w:r>
      <w:r>
        <w:t>Gilt dies auch für das client cert? Falls ja, dann könnte renewal mit abgelaufenem client cert nicht mehr möglich sein.</w:t>
      </w:r>
    </w:p>
  </w:comment>
  <w:comment w:id="108" w:author="Plagens, Christian" w:date="2024-06-06T14:12:53Z" w:initials="cp">
    <w:p>
      <w:r>
        <w:rPr>
          <w:vanish/>
        </w:rPr>
        <w:t>157</w:t>
      </w:r>
      <w:r>
        <w:t>GKV-SV_13</w:t>
      </w:r>
    </w:p>
  </w:comment>
  <w:comment w:id="109" w:author="Ohlendorf, Tim" w:date="2024-04-15T14:10:54Z" w:initials="OT">
    <w:p>
      <w:r>
        <w:rPr>
          <w:vanish/>
        </w:rPr>
        <w:t>95</w:t>
      </w:r>
      <w:r>
        <w:t>Stellen Strongbox &amp; Secure Enclave gemSpecKrypt konforme krypto bereit?</w:t>
      </w:r>
    </w:p>
  </w:comment>
  <w:comment w:id="110" w:author="Ohlendorf, Tim" w:date="2024-04-15T14:28:41Z" w:initials="OT">
    <w:p>
      <w:r>
        <w:rPr>
          <w:vanish/>
        </w:rPr>
        <w:t>103</w:t>
      </w:r>
      <w:r>
        <w:t>Haben wir bereits geprüft, dass die Algorithmen aus gemSpec_Krypt in den jeweiligen Plattformschlüsselspeichern und Attestierungsmechanismen unterstützt werden?</w:t>
      </w:r>
    </w:p>
  </w:comment>
  <w:comment w:id="111" w:author="Ohlendorf, Tim" w:date="2024-04-15T14:10:54Z" w:initials="OT">
    <w:p>
      <w:r>
        <w:rPr>
          <w:vanish/>
        </w:rPr>
        <w:t>96</w:t>
      </w:r>
      <w:r>
        <w:t>Definition schwammig. Könnte je nach Interpretation TEE ausschließen.</w:t>
      </w:r>
    </w:p>
  </w:comment>
  <w:comment w:id="112" w:author="Ohlendorf, Tim" w:date="2024-04-15T14:28:41Z" w:initials="OT">
    <w:p>
      <w:r>
        <w:rPr>
          <w:vanish/>
        </w:rPr>
        <w:t>104</w:t>
      </w:r>
      <w:r>
        <w:t>könnte je nach Interpretation TEEs / 90% der Androidgeräte ausschließen. Sollte besser spezifiziert werden (ggf. TEE/ TRH)</w:t>
      </w:r>
    </w:p>
  </w:comment>
  <w:comment w:id="114" w:author="Ohlendorf, Tim" w:date="2024-04-15T14:17:09Z" w:initials="OT">
    <w:p>
      <w:r>
        <w:rPr>
          <w:vanish/>
        </w:rPr>
        <w:t>99</w:t>
      </w:r>
      <w:r>
        <w:t>OID4VC</w:t>
      </w:r>
    </w:p>
  </w:comment>
  <w:comment w:id="117" w:author="Plagens, Christian" w:date="2024-06-06T13:43:30Z" w:initials="cp">
    <w:p>
      <w:r>
        <w:rPr>
          <w:vanish/>
        </w:rPr>
        <w:t>153</w:t>
      </w:r>
      <w:r>
        <w:t>GKV-SV_07, GKV-SV_08</w:t>
      </w:r>
    </w:p>
  </w:comment>
  <w:comment w:id="120" w:author="Hammerschmidt, Michael" w:date="2024-05-29T20:08:22Z" w:initials="HM">
    <w:p>
      <w:r>
        <w:rPr>
          <w:vanish/>
        </w:rPr>
        <w:t>131</w:t>
      </w:r>
      <w:r>
        <w:t>Nutzer nutzerfreundlich ließt sich sprerrig. Wäre nicht einfach verständlich besser?</w:t>
      </w:r>
    </w:p>
  </w:comment>
  <w:comment w:id="121" w:author="McAllister, Stephen" w:date="2024-04-05T13:37:23Z" w:initials="MS">
    <w:p>
      <w:r>
        <w:rPr>
          <w:vanish/>
        </w:rPr>
        <w:t>25</w:t>
      </w:r>
      <w:r>
        <w:t>Die Daten sollten mit der Anforderungen von dem Betriebsdaten sowie Security Monitoring abgestimmt. Ggf gibt es Überschneidungen oder Daten wird gesammelt, die für BDE und Security Monitoring nicht gebraucht wird.</w:t>
      </w:r>
    </w:p>
  </w:comment>
  <w:comment w:id="122" w:author="Jablonski, Hendrik" w:date="2024-04-10T13:11:35Z" w:initials="JH">
    <w:p>
      <w:r>
        <w:rPr>
          <w:vanish/>
        </w:rPr>
        <w:t>58</w:t>
      </w:r>
      <w:r>
        <w:t>ja, BDE muss spezifiziert werden, und alles was hier steht ist wichtig für Telemetrie der Geräteregistrierung</w:t>
      </w:r>
    </w:p>
  </w:comment>
  <w:comment w:id="124" w:author="Plagens, Christian" w:date="2024-06-06T14:16:02Z" w:initials="cp">
    <w:p>
      <w:r>
        <w:rPr>
          <w:vanish/>
        </w:rPr>
        <w:t>160</w:t>
      </w:r>
      <w:r>
        <w:t>GKV-SV_19</w:t>
      </w:r>
    </w:p>
  </w:comment>
  <w:comment w:id="125" w:author="Plagens, Christian" w:date="2024-05-17T11:02:53Z" w:initials="cp">
    <w:p>
      <w:r>
        <w:rPr>
          <w:vanish/>
        </w:rPr>
        <w:t>121</w:t>
      </w:r>
      <w:r>
        <w:t>BSI_18</w:t>
      </w:r>
    </w:p>
  </w:comment>
  <w:comment w:id="128" w:author="Plagens, Christian" w:date="2024-05-08T14:50:50Z" w:initials="cp">
    <w:p>
      <w:r>
        <w:rPr>
          <w:vanish/>
        </w:rPr>
        <w:t>106</w:t>
      </w:r>
      <w:r>
        <w:t>Muss überarbeitet werden, wenn entschieden ist, ob mTLS oder JWT + DPoP verwendet wird.</w:t>
      </w:r>
    </w:p>
  </w:comment>
  <w:comment w:id="147" w:author="Di Maggio, Antonio" w:date="2024-06-06T17:29:41Z" w:initials="DMA">
    <w:p>
      <w:r>
        <w:rPr>
          <w:vanish/>
        </w:rPr>
        <w:t>180</w:t>
      </w:r>
      <w:r>
        <w:t>Vorschlag: Es wird angestrebt, so früh wie möglich durch PoCs und Durchstichtests die Umsetzbarkeit der Spezifikationen und Anwendungsszenarien des Nutzers nachzuweisen</w:t>
      </w:r>
    </w:p>
  </w:comment>
  <w:comment w:id="148" w:author="Hammerschmidt, Michael" w:date="2024-06-07T09:20:56Z" w:initials="HM">
    <w:p>
      <w:r>
        <w:rPr>
          <w:vanish/>
        </w:rPr>
        <w:t>196</w:t>
      </w:r>
      <w:r>
        <w:t>Etwas angepasst, aber weitgehend Vorschlag übernommen</w:t>
      </w:r>
    </w:p>
  </w:comment>
  <w:comment w:id="150" w:author="Möhlmann, Gerriet" w:date="2024-06-06T13:59:35Z" w:initials="MG">
    <w:p>
      <w:r>
        <w:rPr>
          <w:vanish/>
        </w:rPr>
        <w:t>156</w:t>
      </w:r>
      <w:r>
        <w:t>"um deren allgemeine Verständlichkeit zu ermöglichen" würde ich einfach weg lassen. ich glaube wir müssen hier nicht unbedingt sagen, warum wir etwas fordern. dafür wäre es gut, wenn erklärte würde, um welche Testszenarien es geht, damit es für gematik und hersteller möglichst leicht ist zu erkennen, wann der hersteller alle relevanten Testszenarien erstellt hat und wann noch welche fehlen.</w:t>
      </w:r>
    </w:p>
  </w:comment>
  <w:comment w:id="151" w:author="Hammerschmidt, Michael" w:date="2024-06-07T09:20:56Z" w:initials="HM">
    <w:p>
      <w:r>
        <w:rPr>
          <w:vanish/>
        </w:rPr>
        <w:t>197</w:t>
      </w:r>
      <w:r>
        <w:t>So besser?</w:t>
      </w:r>
    </w:p>
  </w:comment>
  <w:comment w:id="152" w:author="Holzäpfel, Udo" w:date="2024-06-07T09:48:17Z" w:initials="HU">
    <w:p>
      <w:r>
        <w:rPr>
          <w:vanish/>
        </w:rPr>
        <w:t>209</w:t>
      </w:r>
      <w:r>
        <w:t>Bitte AFO streichen. Keine Tool Festlegung im Dokument. Eine etwaige Tool Festlegung erfolgt in der LB</w:t>
      </w:r>
    </w:p>
  </w:comment>
  <w:comment w:id="153" w:author="Hammerschmidt, Michael" w:date="2024-06-07T10:29:15Z" w:initials="HM">
    <w:p>
      <w:r>
        <w:rPr>
          <w:vanish/>
        </w:rPr>
        <w:t>214</w:t>
      </w:r>
      <w:r>
        <w:t>Das ist kein Tool, sondern ein Framework und eher ein Testvorgehen.</w:t>
      </w:r>
    </w:p>
  </w:comment>
  <w:comment w:id="154" w:author="Möhlmann, Gerriet" w:date="2024-06-06T15:25:21Z" w:initials="MG">
    <w:p>
      <w:r>
        <w:rPr>
          <w:vanish/>
        </w:rPr>
        <w:t>170</w:t>
      </w:r>
      <w:r>
        <w:t>"um Verzögerungen durch fehlende Testartefakte und hohe Kosten durch Doppelentwicklungen zu vermeiden" würde ich einfach weg lassen. ich glaube wir müssen hier nicht unbedingt sagen, warum wir etwas fordern. dafür wäre es gut, wenn erklärte würde, um welche Testartefakte es geht, damit es für gematik und hersteller möglichst leicht ist zu erkennen, wann der hersteller alle relevanten Testartefakte erstellt hat und wann noch welche fehlen.</w:t>
      </w:r>
    </w:p>
  </w:comment>
  <w:comment w:id="155" w:author="Hammerschmidt, Michael" w:date="2024-06-07T09:26:50Z" w:initials="HM">
    <w:p>
      <w:r>
        <w:rPr>
          <w:vanish/>
        </w:rPr>
        <w:t>198</w:t>
      </w:r>
      <w:r>
        <w:t>OK, übernommen, und etwas angepasst.</w:t>
      </w:r>
    </w:p>
  </w:comment>
  <w:comment w:id="156" w:author="Hammerschmidt, Michael" w:date="2024-06-07T09:26:50Z" w:initials="HM">
    <w:p>
      <w:r>
        <w:rPr>
          <w:vanish/>
        </w:rPr>
        <w:t>199</w:t>
      </w:r>
      <w:r>
        <w:t>Eine genaue Aufstellung und Beauftragung erfolgt dann in der LB</w:t>
      </w:r>
    </w:p>
  </w:comment>
  <w:comment w:id="157" w:author="Holzäpfel, Udo" w:date="2024-06-07T09:48:17Z" w:initials="HU">
    <w:p>
      <w:r>
        <w:rPr>
          <w:vanish/>
        </w:rPr>
        <w:t>210</w:t>
      </w:r>
      <w:r>
        <w:t>Begründung streichen. Motivation gehört nicht in die AFO.</w:t>
      </w:r>
    </w:p>
  </w:comment>
  <w:comment w:id="158" w:author="Holzäpfel, Udo" w:date="2024-06-07T09:48:17Z" w:initials="HU">
    <w:p>
      <w:r>
        <w:rPr>
          <w:vanish/>
        </w:rPr>
        <w:t>211</w:t>
      </w:r>
      <w:r>
        <w:t>Das wird nicht für alle Tests möglich sein. Vielleicht besser "soweit wie möglich".</w:t>
      </w:r>
    </w:p>
  </w:comment>
  <w:comment w:id="159" w:author="Hammerschmidt, Michael" w:date="2024-06-07T10:29:16Z" w:initials="HM">
    <w:p>
      <w:r>
        <w:rPr>
          <w:vanish/>
        </w:rPr>
        <w:t>215</w:t>
      </w:r>
      <w:r>
        <w:t>Es geht hier um die Testartefakte, d.h. die Simulatoren, Mocks etc, nicht um die ZT-Komponenten. Aber ich habe ein "sowit möglich" eingefügt</w:t>
      </w:r>
    </w:p>
  </w:comment>
  <w:comment w:id="160" w:author="Di Maggio, Antonio" w:date="2024-06-06T22:47:09Z" w:initials="DMA">
    <w:p>
      <w:r>
        <w:rPr>
          <w:vanish/>
        </w:rPr>
        <w:t>183</w:t>
      </w:r>
      <w:r>
        <w:t>wer sind die Beteiligten? ist der Auftraggeber (gematik) gemeint?</w:t>
      </w:r>
    </w:p>
  </w:comment>
  <w:comment w:id="161" w:author="Hammerschmidt, Michael" w:date="2024-06-07T09:30:42Z" w:initials="HM">
    <w:p>
      <w:r>
        <w:rPr>
          <w:vanish/>
        </w:rPr>
        <w:t>200</w:t>
      </w:r>
      <w:r>
        <w:t>Das sind tatsächlich alle, die Sachen sollen frei herunterladbar sein. Ich lasse das Beteiligten weg, ich glaube "alle" reicht.</w:t>
      </w:r>
    </w:p>
  </w:comment>
  <w:comment w:id="162" w:author="Rahn, Tanja" w:date="2024-06-06T13:18:25Z" w:initials="RT">
    <w:p>
      <w:r>
        <w:rPr>
          <w:vanish/>
        </w:rPr>
        <w:t>151</w:t>
      </w:r>
      <w:r>
        <w:t>Mit OSPO über Bereitstellung (Lizenztyp) abstimmen, erfolgt aber wahrscheinlich ohnehin.</w:t>
      </w:r>
    </w:p>
  </w:comment>
  <w:comment w:id="163" w:author="Hammerschmidt, Michael" w:date="2024-06-07T09:30:42Z" w:initials="HM">
    <w:p>
      <w:r>
        <w:rPr>
          <w:vanish/>
        </w:rPr>
        <w:t>201</w:t>
      </w:r>
      <w:r>
        <w:t>Ja, ich denke das stellen wir spätestens in der LB klar.</w:t>
      </w:r>
    </w:p>
  </w:comment>
  <w:comment w:id="164" w:author="Möhlmann, Gerriet" w:date="2024-06-06T15:25:21Z" w:initials="MG">
    <w:p>
      <w:r>
        <w:rPr>
          <w:vanish/>
        </w:rPr>
        <w:t>171</w:t>
      </w:r>
      <w:r>
        <w:t>Das wirkt für mich knifflig. Ist der Job des Herstellers nicht fertig, wenn sein Produkt fertig ist? Vielleicht könnte man von einem Anbieter verlangen, dass er Support macht so lange wie er Anbieter ist. Aber wenn einer das Produkt herstellt, können wir vermutlich nicht über eine Afo verlangen, dass er da bis zum Ende aller Tage Support leistet.</w:t>
      </w:r>
    </w:p>
  </w:comment>
  <w:comment w:id="165" w:author="Hammerschmidt, Michael" w:date="2024-06-07T09:47:13Z" w:initials="HM">
    <w:p>
      <w:r>
        <w:rPr>
          <w:vanish/>
        </w:rPr>
        <w:t>202</w:t>
      </w:r>
      <w:r>
        <w:t>Es geht hier nicht um sein Produkt, das ist eine Betriebsanforderung, sondern um die von ihm erstellten Testartfakte. Das kann nur er machen</w:t>
      </w:r>
    </w:p>
  </w:comment>
  <w:comment w:id="166" w:author="Di Maggio, Antonio" w:date="2024-06-06T22:47:09Z" w:initials="DMA">
    <w:p>
      <w:r>
        <w:rPr>
          <w:vanish/>
        </w:rPr>
        <w:t>184</w:t>
      </w:r>
      <w:r>
        <w:t>Vorschlag: Der Anbieter der Zero Trust Komponenten MUSS den Support für die von ihm entwickelten Testartefakte anbieten oder ermöglichen.</w:t>
      </w:r>
    </w:p>
  </w:comment>
  <w:comment w:id="167" w:author="Hammerschmidt, Michael" w:date="2024-06-07T09:47:13Z" w:initials="HM">
    <w:p>
      <w:r>
        <w:rPr>
          <w:vanish/>
        </w:rPr>
        <w:t>203</w:t>
      </w:r>
      <w:r>
        <w:t>es geht ja nur um die Testartefakte, für die kann nur er den Support machen. Für die Komponenten ist das eine Betriebsanforderung.</w:t>
      </w:r>
    </w:p>
  </w:comment>
  <w:comment w:id="169" w:author="McAllister, Stephen" w:date="2024-06-04T11:41:13Z" w:initials="MS">
    <w:p>
      <w:r>
        <w:rPr>
          <w:vanish/>
        </w:rPr>
        <w:t>141</w:t>
      </w:r>
      <w:r>
        <w:t>@Michael: nach interne SI abstimmen, muss diese Schnittstelle für die PU entfernt werde ggf. durch eine Kompilierungsoption. Es ist leider ein zu großes Sicherheitsrisiko, die Testschnittstelle für die PU drin zu lassen.</w:t>
      </w:r>
    </w:p>
  </w:comment>
  <w:comment w:id="170" w:author="Hammerschmidt, Michael" w:date="2024-06-06T10:48:06Z" w:initials="HM">
    <w:p>
      <w:r>
        <w:rPr>
          <w:vanish/>
        </w:rPr>
        <w:t>146</w:t>
      </w:r>
      <w:r>
        <w:t>OK, habe ich bei den Anforderungen allgemein formuliert, reicht Dir das so?</w:t>
      </w:r>
    </w:p>
  </w:comment>
  <w:comment w:id="171" w:author="Holzäpfel, Udo" w:date="2024-06-07T09:48:17Z" w:initials="HU">
    <w:p>
      <w:r>
        <w:rPr>
          <w:vanish/>
        </w:rPr>
        <w:t>212</w:t>
      </w:r>
      <w:r>
        <w:t>Unklar bleibt, was hier eine Komponente ist. Und gilt das wirklich für alle.</w:t>
      </w:r>
    </w:p>
  </w:comment>
  <w:comment w:id="172" w:author="Hammerschmidt, Michael" w:date="2024-06-07T10:29:16Z" w:initials="HM">
    <w:p>
      <w:r>
        <w:rPr>
          <w:vanish/>
        </w:rPr>
        <w:t>216</w:t>
      </w:r>
      <w:r>
        <w:t>Habe ergänzt, das später eine genaue Abstimmung erfolgen muss.</w:t>
      </w:r>
    </w:p>
  </w:comment>
  <w:comment w:id="173" w:author="Möhlmann, Gerriet" w:date="2024-06-06T15:25:21Z" w:initials="MG">
    <w:p>
      <w:r>
        <w:rPr>
          <w:vanish/>
        </w:rPr>
        <w:t>172</w:t>
      </w:r>
      <w:r>
        <w:t>zu irgendeinem zeitpunkt müssten wir das vermutlich noch konkreter machen. vielleicht können wir irgendwas sagen wie "umfang und schnittstellen folgen". oder "umfang folgt, schnittstellenentwurf obliegt dem hersteller"</w:t>
      </w:r>
    </w:p>
  </w:comment>
  <w:comment w:id="174" w:author="Hammerschmidt, Michael" w:date="2024-06-07T09:47:13Z" w:initials="HM">
    <w:p>
      <w:r>
        <w:rPr>
          <w:vanish/>
        </w:rPr>
        <w:t>204</w:t>
      </w:r>
      <w:r>
        <w:t>Ja, später ist dann in der LB, da fordern wir dann den AN auf, uns in einem Konzept darzulegen, wie er das machen wird.</w:t>
      </w:r>
    </w:p>
  </w:comment>
  <w:comment w:id="175" w:author="Di Maggio, Antonio" w:date="2024-06-06T23:09:53Z" w:initials="DMA">
    <w:p>
      <w:r>
        <w:rPr>
          <w:vanish/>
        </w:rPr>
        <w:t>185</w:t>
      </w:r>
      <w:r>
        <w:t>hier sollten wir m.E. Vorgaben über diese Schnittstelle machen. Evtl. könnte man hier nachdenken bzw. verlangen, dass jeder Komponente eine Selbsttestroutine bereitstellt, die den automatisierten Nachweis der/aller/abgestimmter funktionalen Anforderungen der jeweiligen Komponente überprüft</w:t>
      </w:r>
    </w:p>
  </w:comment>
  <w:comment w:id="176" w:author="Di Maggio, Antonio" w:date="2024-06-06T23:09:53Z" w:initials="DMA">
    <w:p>
      <w:r>
        <w:rPr>
          <w:vanish/>
        </w:rPr>
        <w:t>186</w:t>
      </w:r>
      <w:r>
        <w:t>Eine Selbsttestroutine wäre unabhängig von der Test- oder Produktivumgebung</w:t>
      </w:r>
    </w:p>
  </w:comment>
  <w:comment w:id="177" w:author="Di Maggio, Antonio" w:date="2024-06-06T23:09:53Z" w:initials="DMA">
    <w:p>
      <w:r>
        <w:rPr>
          <w:vanish/>
        </w:rPr>
        <w:t>187</w:t>
      </w:r>
      <w:r>
        <w:t>Hier wäre m.E. eine Vorgabe der gematik durch Test-Referenzschlüssel besser, ohne dass Schlüsselspeicher getrickst ausgelesen werden müssen</w:t>
      </w:r>
    </w:p>
  </w:comment>
  <w:comment w:id="178" w:author="Hammerschmidt, Michael" w:date="2024-06-07T09:47:13Z" w:initials="HM">
    <w:p>
      <w:r>
        <w:rPr>
          <w:vanish/>
        </w:rPr>
        <w:t>205</w:t>
      </w:r>
      <w:r>
        <w:t>Das sind nur Beispiele, aber ich habe die Testschlüssel ergänzt</w:t>
      </w:r>
    </w:p>
  </w:comment>
  <w:comment w:id="179" w:author="Di Maggio, Antonio" w:date="2024-06-06T23:09:53Z" w:initials="DMA">
    <w:p>
      <w:r>
        <w:rPr>
          <w:vanish/>
        </w:rPr>
        <w:t>188</w:t>
      </w:r>
      <w:r>
        <w:t>Connectathons... bis zur Abnahme des AG ... mitwirken. Nach der Abnahme müsste ein Supportvertrag das regeln</w:t>
      </w:r>
    </w:p>
  </w:comment>
  <w:comment w:id="180" w:author="Hammerschmidt, Michael" w:date="2024-06-07T09:47:13Z" w:initials="HM">
    <w:p>
      <w:r>
        <w:rPr>
          <w:vanish/>
        </w:rPr>
        <w:t>206</w:t>
      </w:r>
      <w:r>
        <w:t>Das Vertragliche betrachten wir hier nicht.</w:t>
      </w:r>
    </w:p>
  </w:comment>
  <w:comment w:id="181" w:author="Möhlmann, Gerriet" w:date="2024-06-06T15:30:20Z" w:initials="MG">
    <w:p>
      <w:r>
        <w:rPr>
          <w:vanish/>
        </w:rPr>
        <w:t>173</w:t>
      </w:r>
      <w:r>
        <w:t>Hier bin ich auch nicht sicher, ob wir das vom Hersteller verlangen können. Vielleicht ist das auch etwas, dass wir vertraglich in der Ausschreibung festhalten können. Aber in der "TI 1.0"-Zeit hing so eine Afo vermutlich eher am Anbieter als am Hersteller. Glaube ich zumindest.</w:t>
      </w:r>
    </w:p>
  </w:comment>
  <w:comment w:id="183" w:author="Rahn, Tanja" w:date="2024-06-06T13:18:25Z" w:initials="RT">
    <w:p>
      <w:r>
        <w:rPr>
          <w:vanish/>
        </w:rPr>
        <w:t>152</w:t>
      </w:r>
      <w:r>
        <w:t>Warum lassen wir uns die ZT Komponenten nicht auch als Container liefern ? Weil wir sie bereits als Source Code vorliegen haben ?</w:t>
      </w:r>
    </w:p>
  </w:comment>
  <w:comment w:id="184" w:author="Di Maggio, Antonio" w:date="2024-06-06T23:17:27Z" w:initials="DMA">
    <w:p>
      <w:r>
        <w:rPr>
          <w:vanish/>
        </w:rPr>
        <w:t>189</w:t>
      </w:r>
      <w:r>
        <w:t>wir sollen auf jedem Fall die Komponenten, soweit diese eine geschlossene funktionale Einheit bilden, uns als Container liefern lassen</w:t>
      </w:r>
    </w:p>
  </w:comment>
  <w:comment w:id="185" w:author="Möhlmann, Gerriet" w:date="2024-06-06T15:34:16Z" w:initials="MG">
    <w:p>
      <w:r>
        <w:rPr>
          <w:vanish/>
        </w:rPr>
        <w:t>174</w:t>
      </w:r>
      <w:r>
        <w:t>Vermutlich könnte man diese "beliebigen" Testumgebungen noch etwas einschränken oder konkretisieren. Aber ich weiß nicht genau wie. Vielleicht wären hier ein paar Beispiele hilftreich, damit der Leser sich eine Abschätzung machen kann, wie beliebig beliebig in unser Vorstellung ist.</w:t>
      </w:r>
    </w:p>
  </w:comment>
  <w:comment w:id="186" w:author="Di Maggio, Antonio" w:date="2024-06-06T23:17:27Z" w:initials="DMA">
    <w:p>
      <w:r>
        <w:rPr>
          <w:vanish/>
        </w:rPr>
        <w:t>190</w:t>
      </w:r>
      <w:r>
        <w:t>was ist eine beliebige Testumgebungen? eigentlich sollte hier gemeint sein, dass die Testkomponenten Schnittstellen anbieten MÜSSEN, die in beliebigen Testinfrastrukturen eingebunden werden können</w:t>
      </w:r>
    </w:p>
  </w:comment>
  <w:comment w:id="188" w:author="Di Maggio, Antonio" w:date="2024-06-06T23:29:09Z" w:initials="DMA">
    <w:p>
      <w:r>
        <w:rPr>
          <w:vanish/>
        </w:rPr>
        <w:t>191</w:t>
      </w:r>
      <w:r>
        <w:t>statt "eingesetzt werden" sollte "validiert werden" sein</w:t>
      </w:r>
    </w:p>
  </w:comment>
  <w:comment w:id="189" w:author="Hammerschmidt, Michael" w:date="2024-06-07T09:47:13Z" w:initials="HM">
    <w:p>
      <w:r>
        <w:rPr>
          <w:vanish/>
        </w:rPr>
        <w:t>207</w:t>
      </w:r>
      <w:r>
        <w:t>ok</w:t>
      </w:r>
    </w:p>
  </w:comment>
  <w:comment w:id="190" w:author="Di Maggio, Antonio" w:date="2024-06-06T23:29:09Z" w:initials="DMA">
    <w:p>
      <w:r>
        <w:rPr>
          <w:vanish/>
        </w:rPr>
        <w:t>192</w:t>
      </w:r>
      <w:r>
        <w:t>den Satz "Dadurch wird die Qualität der Komponenten gemessen." würde ich streichen. Wurde in ersten Abschnitt nach 5.8.4 erläutert</w:t>
      </w:r>
    </w:p>
  </w:comment>
  <w:comment w:id="191" w:author="Holzäpfel, Udo" w:date="2024-06-07T09:48:18Z" w:initials="HU">
    <w:p>
      <w:r>
        <w:rPr>
          <w:vanish/>
        </w:rPr>
        <w:t>213</w:t>
      </w:r>
      <w:r>
        <w:t>Unklar bleibt, was der Inhalt des Quality Gates ist. Im Prinzip ist die Anforderung nutzlos sofern nicht auf die Inhalte des CQ eingegangen wird. Vorschlag streichen un in LB abbilden. Später gerne ordentlich im gemKPT_Test.</w:t>
      </w:r>
    </w:p>
  </w:comment>
  <w:comment w:id="192" w:author="Hammerschmidt, Michael" w:date="2024-06-07T10:53:21Z" w:initials="HM">
    <w:p>
      <w:r>
        <w:rPr>
          <w:vanish/>
        </w:rPr>
        <w:t>218</w:t>
      </w:r>
      <w:r>
        <w:t>Habe ergänzt, das das später noch geklärt werden muss</w:t>
      </w:r>
    </w:p>
  </w:comment>
  <w:comment w:id="193" w:author="Ratschinski, Ilja" w:date="2024-06-06T12:21:44Z" w:initials="RI">
    <w:p>
      <w:r>
        <w:rPr>
          <w:vanish/>
        </w:rPr>
        <w:t>150</w:t>
      </w:r>
      <w:r>
        <w:t>"nachgewiesen, in welchen Testumgebungen sie eingesetzt werden dürfen"?</w:t>
      </w:r>
    </w:p>
  </w:comment>
  <w:comment w:id="194" w:author="Di Maggio, Antonio" w:date="2024-06-06T23:29:09Z" w:initials="DMA">
    <w:p>
      <w:r>
        <w:rPr>
          <w:vanish/>
        </w:rPr>
        <w:t>193</w:t>
      </w:r>
      <w:r>
        <w:t>besser wäre die Quality Gates für den Validierungszweck zu definieren, die je nach Life Cycle bzw. Umgebung abhängen</w:t>
      </w:r>
    </w:p>
  </w:comment>
  <w:comment w:id="195" w:author="Hammerschmidt, Michael" w:date="2024-06-07T09:47:13Z" w:initials="HM">
    <w:p>
      <w:r>
        <w:rPr>
          <w:vanish/>
        </w:rPr>
        <w:t>208</w:t>
      </w:r>
      <w:r>
        <w:t>Habe das etwas erweitert</w:t>
      </w:r>
    </w:p>
  </w:comment>
  <w:comment w:id="198" w:author="Dupré, Susanne" w:date="2024-05-16T13:47:02Z" w:initials="DS">
    <w:p>
      <w:r>
        <w:rPr>
          <w:vanish/>
        </w:rPr>
        <w:t>120</w:t>
      </w:r>
      <w:r>
        <w:t>Im Fall von PoPP-Service stehen zwar auch Fachanwendungen dahinter, die Zero Trust Komponenten werden auch im "PoPP-Service" vorgesehen.</w:t>
      </w:r>
    </w:p>
  </w:comment>
  <w:comment w:id="199" w:author="Plagens, Christian" w:date="2024-06-07T10:47:30Z" w:initials="cp">
    <w:p>
      <w:r>
        <w:rPr>
          <w:vanish/>
        </w:rPr>
        <w:t>217</w:t>
      </w:r>
      <w:r>
        <w:t>geändert in TI 2.0 Dienst</w:t>
      </w:r>
    </w:p>
  </w:comment>
  <w:comment w:id="213" w:author="Graichen, Martina" w:date="2024-04-09T16:20:12Z" w:initials="MGR">
    <w:p>
      <w:r>
        <w:rPr>
          <w:vanish/>
        </w:rPr>
        <w:t>47</w:t>
      </w:r>
      <w:r>
        <w:t>Sollen die Links tatsächlich auf die jeweils dedizierte Version dieser Dokumente zeigen? Das sind nicht immer (mehr) die Latest Versions...</w:t>
      </w:r>
    </w:p>
  </w:comment>
  <w:comment w:id="214" w:author="Jablonski, Hendrik" w:date="2024-04-10T13:18:51Z" w:initials="JH">
    <w:p>
      <w:r>
        <w:rPr>
          <w:vanish/>
        </w:rPr>
        <w:t>64</w:t>
      </w:r>
      <w:r>
        <w:t>latest ist schlecht, wenn sich der content ändert und dieses Doc nicht nachgezogen wird. Die referenzierten Versionen ensprechen einem Stand der zueinander passt (passen sollte).</w:t>
      </w:r>
    </w:p>
  </w:comment>
  <w:comment w:id="215" w:author="Graichen, Martina" w:date="2024-04-11T08:57:41Z" w:initials="MGR">
    <w:p>
      <w:r>
        <w:rPr>
          <w:vanish/>
        </w:rPr>
        <w:t>66</w:t>
      </w:r>
      <w:r>
        <w:t>ok, verstanden</w:t>
      </w:r>
    </w:p>
  </w:comment>
  <w:comment w:id="216" w:author="Graichen, Martina" w:date="2024-04-11T08:59:51Z" w:initials="MGR">
    <w:p>
      <w:r>
        <w:rPr>
          <w:vanish/>
        </w:rPr>
        <w:t>67</w:t>
      </w:r>
      <w:r>
        <w:t>wobei hier zumindest auf die letzte veröffentlichte Version verlinkt werden sollte</w:t>
      </w:r>
    </w:p>
  </w:comment>
</w:comment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tblBorders>
      <w:tblCellMar>
        <w:left w:w="0" w:type="dxa"/>
        <w:right w:w="0" w:type="dxa"/>
      </w:tblCellMar>
      <w:tblLook w:val="01E0"/>
    </w:tblPr>
    <w:tblGrid>
      <w:gridCol w:w="3989"/>
      <w:gridCol w:w="3287"/>
      <w:gridCol w:w="1794"/>
    </w:tblGrid>
    <w:tr w:rsidTr="00334971">
      <w:tblPrEx>
        <w:tblW w:w="5000" w:type="pct"/>
        <w:tblBorders>
          <w:top w:val="single" w:sz="4" w:space="0" w:color="auto"/>
        </w:tblBorders>
        <w:tblCellMar>
          <w:left w:w="0" w:type="dxa"/>
          <w:right w:w="0" w:type="dxa"/>
        </w:tblCellMar>
        <w:tblLook w:val="01E0"/>
      </w:tblPrEx>
      <w:tc>
        <w:tcPr>
          <w:tcW w:w="3686" w:type="dxa"/>
          <w:shd w:val="clear" w:color="auto" w:fill="auto"/>
        </w:tcPr>
        <w:p w:rsidR="00AC35BF" w:rsidRPr="00F135F8" w:rsidP="00AC35BF">
          <w:pPr>
            <w:pStyle w:val="Footer"/>
            <w:tabs>
              <w:tab w:val="clear" w:pos="4536"/>
              <w:tab w:val="clear" w:pos="5643"/>
              <w:tab w:val="clear" w:pos="7182"/>
              <w:tab w:val="clear" w:pos="8820"/>
            </w:tabs>
            <w:spacing w:before="60" w:after="0"/>
            <w:rPr>
              <w:rFonts w:cs="Arial"/>
              <w:noProof/>
            </w:rPr>
          </w:pPr>
          <w:r w:rsidRPr="00F135F8">
            <w:rPr>
              <w:rFonts w:cs="Arial"/>
              <w:noProof/>
            </w:rPr>
            <w:fldChar w:fldCharType="begin"/>
          </w:r>
          <w:r w:rsidRPr="00F135F8">
            <w:rPr>
              <w:rFonts w:cs="Arial"/>
              <w:noProof/>
            </w:rPr>
            <w:instrText xml:space="preserve"> FILENAME   \* MERGEFORMAT </w:instrText>
          </w:r>
          <w:r w:rsidRPr="00F135F8">
            <w:rPr>
              <w:rFonts w:cs="Arial"/>
              <w:noProof/>
            </w:rPr>
            <w:fldChar w:fldCharType="separate"/>
          </w:r>
          <w:r w:rsidR="0028108D">
            <w:rPr>
              <w:rFonts w:cs="Arial"/>
              <w:noProof/>
            </w:rPr>
            <w:t>gemF_Zero-Trust</w:t>
          </w:r>
          <w:r w:rsidRPr="00F135F8">
            <w:rPr>
              <w:rFonts w:cs="Arial"/>
              <w:noProof/>
            </w:rPr>
            <w:t>.docx</w:t>
          </w:r>
          <w:r w:rsidRPr="00F135F8">
            <w:rPr>
              <w:rFonts w:cs="Arial"/>
              <w:noProof/>
            </w:rPr>
            <w:fldChar w:fldCharType="end"/>
          </w:r>
        </w:p>
      </w:tc>
      <w:tc>
        <w:tcPr>
          <w:tcW w:w="3038" w:type="dxa"/>
          <w:shd w:val="clear" w:color="auto" w:fill="auto"/>
        </w:tcPr>
        <w:p w:rsidR="00AC35BF" w:rsidRPr="00F135F8" w:rsidP="00425A2B">
          <w:pPr>
            <w:pStyle w:val="Footer"/>
            <w:tabs>
              <w:tab w:val="clear" w:pos="4536"/>
              <w:tab w:val="clear" w:pos="5643"/>
              <w:tab w:val="clear" w:pos="7182"/>
              <w:tab w:val="clear" w:pos="8820"/>
            </w:tabs>
            <w:spacing w:before="60" w:after="0"/>
            <w:ind w:right="0"/>
            <w:rPr>
              <w:rFonts w:cs="Arial"/>
              <w:noProof/>
            </w:rPr>
          </w:pPr>
        </w:p>
      </w:tc>
      <w:tc>
        <w:tcPr>
          <w:tcW w:w="1658" w:type="dxa"/>
          <w:shd w:val="clear" w:color="auto" w:fill="auto"/>
        </w:tcPr>
        <w:p w:rsidR="00AC35BF" w:rsidRPr="00F135F8" w:rsidP="00AC35BF">
          <w:pPr>
            <w:pStyle w:val="Footer"/>
            <w:tabs>
              <w:tab w:val="clear" w:pos="4536"/>
              <w:tab w:val="clear" w:pos="5643"/>
              <w:tab w:val="clear" w:pos="7182"/>
              <w:tab w:val="clear" w:pos="8820"/>
            </w:tabs>
            <w:spacing w:before="60" w:after="0"/>
            <w:ind w:right="0"/>
            <w:jc w:val="right"/>
            <w:rPr>
              <w:rFonts w:cs="Arial"/>
              <w:noProof/>
            </w:rPr>
          </w:pPr>
          <w:r w:rsidRPr="00F135F8">
            <w:rPr>
              <w:rFonts w:cs="Arial"/>
              <w:noProof/>
            </w:rPr>
            <w:t xml:space="preserve">Seite </w:t>
          </w:r>
          <w:r w:rsidRPr="00F135F8">
            <w:rPr>
              <w:rFonts w:cs="Arial"/>
              <w:noProof/>
            </w:rPr>
            <w:fldChar w:fldCharType="begin"/>
          </w:r>
          <w:r w:rsidRPr="00F135F8">
            <w:rPr>
              <w:rFonts w:cs="Arial"/>
              <w:noProof/>
            </w:rPr>
            <w:instrText xml:space="preserve"> PAGE </w:instrText>
          </w:r>
          <w:r w:rsidRPr="00F135F8">
            <w:rPr>
              <w:rFonts w:cs="Arial"/>
              <w:noProof/>
            </w:rPr>
            <w:fldChar w:fldCharType="separate"/>
          </w:r>
          <w:r w:rsidRPr="00F135F8">
            <w:rPr>
              <w:rFonts w:ascii="Verdana" w:eastAsia="MS Mincho" w:hAnsi="Verdana" w:cs="Arial"/>
              <w:noProof/>
              <w:sz w:val="14"/>
              <w:szCs w:val="14"/>
              <w:lang w:val="de-DE" w:eastAsia="de-DE" w:bidi="ar-SA"/>
            </w:rPr>
            <w:t>62</w:t>
          </w:r>
          <w:r w:rsidRPr="00F135F8">
            <w:rPr>
              <w:rFonts w:cs="Arial"/>
              <w:noProof/>
            </w:rPr>
            <w:fldChar w:fldCharType="end"/>
          </w:r>
          <w:r w:rsidRPr="00F135F8">
            <w:rPr>
              <w:rFonts w:cs="Arial"/>
              <w:noProof/>
            </w:rPr>
            <w:t xml:space="preserve"> von </w:t>
          </w:r>
          <w:r w:rsidRPr="00F135F8">
            <w:rPr>
              <w:rFonts w:cs="Arial"/>
              <w:noProof/>
            </w:rPr>
            <w:fldChar w:fldCharType="begin"/>
          </w:r>
          <w:r w:rsidRPr="00F135F8">
            <w:rPr>
              <w:rFonts w:cs="Arial"/>
              <w:noProof/>
            </w:rPr>
            <w:instrText xml:space="preserve"> NUMPAGES </w:instrText>
          </w:r>
          <w:r w:rsidRPr="00F135F8">
            <w:rPr>
              <w:rFonts w:cs="Arial"/>
              <w:noProof/>
            </w:rPr>
            <w:fldChar w:fldCharType="separate"/>
          </w:r>
          <w:r w:rsidRPr="00F135F8">
            <w:rPr>
              <w:rFonts w:ascii="Verdana" w:eastAsia="MS Mincho" w:hAnsi="Verdana" w:cs="Arial"/>
              <w:noProof/>
              <w:sz w:val="14"/>
              <w:szCs w:val="14"/>
              <w:lang w:val="de-DE" w:eastAsia="de-DE" w:bidi="ar-SA"/>
            </w:rPr>
            <w:t>62</w:t>
          </w:r>
          <w:r w:rsidRPr="00F135F8">
            <w:rPr>
              <w:rFonts w:cs="Arial"/>
              <w:noProof/>
            </w:rPr>
            <w:fldChar w:fldCharType="end"/>
          </w:r>
          <w:r w:rsidRPr="00F135F8">
            <w:rPr>
              <w:rFonts w:cs="Arial"/>
              <w:noProof/>
            </w:rPr>
            <w:t xml:space="preserve"> </w:t>
          </w:r>
        </w:p>
      </w:tc>
    </w:tr>
    <w:tr w:rsidTr="00334971">
      <w:tblPrEx>
        <w:tblW w:w="5000" w:type="pct"/>
        <w:tblCellMar>
          <w:left w:w="0" w:type="dxa"/>
          <w:right w:w="0" w:type="dxa"/>
        </w:tblCellMar>
        <w:tblLook w:val="01E0"/>
      </w:tblPrEx>
      <w:tc>
        <w:tcPr>
          <w:tcW w:w="3686" w:type="dxa"/>
          <w:shd w:val="clear" w:color="auto" w:fill="auto"/>
        </w:tcPr>
        <w:p w:rsidR="00AC35BF" w:rsidRPr="00F135F8" w:rsidP="00425A2B">
          <w:pPr>
            <w:pStyle w:val="Footer"/>
            <w:tabs>
              <w:tab w:val="clear" w:pos="4536"/>
              <w:tab w:val="clear" w:pos="5643"/>
              <w:tab w:val="clear" w:pos="7182"/>
              <w:tab w:val="clear" w:pos="8820"/>
            </w:tabs>
            <w:ind w:right="0"/>
            <w:rPr>
              <w:rFonts w:cs="Arial"/>
            </w:rPr>
          </w:pPr>
          <w:r w:rsidRPr="00F135F8">
            <w:rPr>
              <w:rFonts w:cs="Arial"/>
            </w:rPr>
            <w:t xml:space="preserve">Version: </w:t>
          </w:r>
          <w:r w:rsidR="00425A2B">
            <w:rPr>
              <w:rStyle w:val="cfVersion"/>
              <w:rFonts w:cs="Arial"/>
            </w:rPr>
            <w:t>1.0.1_CC</w:t>
          </w:r>
        </w:p>
      </w:tc>
      <w:tc>
        <w:tcPr>
          <w:tcW w:w="3038" w:type="dxa"/>
          <w:shd w:val="clear" w:color="auto" w:fill="auto"/>
        </w:tcPr>
        <w:p w:rsidR="00AC35BF" w:rsidRPr="00F135F8" w:rsidP="00425A2B">
          <w:pPr>
            <w:pStyle w:val="Footer"/>
            <w:tabs>
              <w:tab w:val="clear" w:pos="4536"/>
              <w:tab w:val="clear" w:pos="5643"/>
              <w:tab w:val="clear" w:pos="7182"/>
              <w:tab w:val="clear" w:pos="8820"/>
            </w:tabs>
            <w:ind w:right="0"/>
            <w:rPr>
              <w:rFonts w:cs="Arial"/>
            </w:rPr>
          </w:pPr>
          <w:r w:rsidRPr="00F135F8">
            <w:rPr>
              <w:rStyle w:val="PageNumber"/>
              <w:rFonts w:cs="Arial"/>
              <w:sz w:val="14"/>
            </w:rPr>
            <w:t xml:space="preserve">© </w:t>
          </w:r>
          <w:r w:rsidRPr="00F135F8">
            <w:rPr>
              <w:rStyle w:val="PageNumber"/>
              <w:rFonts w:cs="Arial"/>
              <w:sz w:val="14"/>
              <w:szCs w:val="16"/>
            </w:rPr>
            <w:t xml:space="preserve">gematik – </w:t>
          </w:r>
          <w:r w:rsidR="00425A2B">
            <w:rPr>
              <w:rStyle w:val="cfKlassifizierung"/>
              <w:rFonts w:cs="Arial"/>
              <w:sz w:val="14"/>
            </w:rPr>
            <w:t>öffentlich_Entwurf</w:t>
          </w:r>
        </w:p>
      </w:tc>
      <w:tc>
        <w:tcPr>
          <w:tcW w:w="1658" w:type="dxa"/>
          <w:shd w:val="clear" w:color="auto" w:fill="auto"/>
        </w:tcPr>
        <w:p w:rsidR="00AC35BF" w:rsidRPr="00F135F8" w:rsidP="00425A2B">
          <w:pPr>
            <w:pStyle w:val="Footer"/>
            <w:tabs>
              <w:tab w:val="clear" w:pos="4536"/>
              <w:tab w:val="clear" w:pos="5643"/>
              <w:tab w:val="clear" w:pos="7182"/>
              <w:tab w:val="clear" w:pos="8820"/>
            </w:tabs>
            <w:ind w:right="0"/>
            <w:jc w:val="right"/>
            <w:rPr>
              <w:rFonts w:cs="Arial"/>
            </w:rPr>
          </w:pPr>
          <w:r w:rsidRPr="00F135F8">
            <w:rPr>
              <w:rFonts w:cs="Arial"/>
            </w:rPr>
            <w:t xml:space="preserve">Stand: </w:t>
          </w:r>
          <w:r w:rsidR="00425A2B">
            <w:rPr>
              <w:rStyle w:val="cfStand"/>
              <w:rFonts w:cs="Arial"/>
            </w:rPr>
            <w:t>07.06.2024</w:t>
          </w:r>
          <w:r w:rsidRPr="00F135F8">
            <w:rPr>
              <w:rFonts w:cs="Arial"/>
            </w:rPr>
            <w:t xml:space="preserve"> </w:t>
          </w:r>
        </w:p>
      </w:tc>
    </w:tr>
  </w:tbl>
  <w:p w:rsidR="00EA13DF" w:rsidRPr="00FB5B44" w:rsidP="009D5555">
    <w:pPr>
      <w:pStyle w:val="Footer"/>
      <w:tabs>
        <w:tab w:val="clear" w:pos="4536"/>
        <w:tab w:val="clear" w:pos="5643"/>
        <w:tab w:val="clear" w:pos="7182"/>
        <w:tab w:val="clear" w:pos="8820"/>
      </w:tabs>
      <w:ind w:right="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tblBorders>
      <w:tblCellMar>
        <w:left w:w="0" w:type="dxa"/>
        <w:right w:w="0" w:type="dxa"/>
      </w:tblCellMar>
      <w:tblLook w:val="01E0"/>
    </w:tblPr>
    <w:tblGrid>
      <w:gridCol w:w="3989"/>
      <w:gridCol w:w="3287"/>
      <w:gridCol w:w="1794"/>
    </w:tblGrid>
    <w:tr w:rsidTr="00AC35BF">
      <w:tblPrEx>
        <w:tblW w:w="5000" w:type="pct"/>
        <w:tblBorders>
          <w:top w:val="single" w:sz="4" w:space="0" w:color="auto"/>
        </w:tblBorders>
        <w:tblCellMar>
          <w:left w:w="0" w:type="dxa"/>
          <w:right w:w="0" w:type="dxa"/>
        </w:tblCellMar>
        <w:tblLook w:val="01E0"/>
      </w:tblPrEx>
      <w:tc>
        <w:tcPr>
          <w:tcW w:w="3686" w:type="dxa"/>
          <w:shd w:val="clear" w:color="auto" w:fill="auto"/>
        </w:tcPr>
        <w:p w:rsidR="00BF4998" w:rsidRPr="00F135F8" w:rsidP="001D7133">
          <w:pPr>
            <w:pStyle w:val="Footer"/>
            <w:tabs>
              <w:tab w:val="clear" w:pos="4536"/>
              <w:tab w:val="clear" w:pos="5643"/>
              <w:tab w:val="clear" w:pos="7182"/>
              <w:tab w:val="clear" w:pos="8820"/>
            </w:tabs>
            <w:spacing w:before="60" w:after="0"/>
            <w:rPr>
              <w:rFonts w:cs="Arial"/>
              <w:noProof/>
            </w:rPr>
          </w:pPr>
          <w:r w:rsidRPr="00F135F8">
            <w:rPr>
              <w:rFonts w:cs="Arial"/>
              <w:noProof/>
            </w:rPr>
            <w:fldChar w:fldCharType="begin"/>
          </w:r>
          <w:r w:rsidRPr="00F135F8">
            <w:rPr>
              <w:rFonts w:cs="Arial"/>
              <w:noProof/>
            </w:rPr>
            <w:instrText xml:space="preserve"> FILENAME   \* MERGEFORMAT </w:instrText>
          </w:r>
          <w:r w:rsidRPr="00F135F8">
            <w:rPr>
              <w:rFonts w:cs="Arial"/>
              <w:noProof/>
            </w:rPr>
            <w:fldChar w:fldCharType="separate"/>
          </w:r>
          <w:r w:rsidR="0028108D">
            <w:rPr>
              <w:rFonts w:cs="Arial"/>
              <w:noProof/>
            </w:rPr>
            <w:t>gemF_Zero-Trust</w:t>
          </w:r>
          <w:r w:rsidRPr="00F135F8">
            <w:rPr>
              <w:rFonts w:cs="Arial"/>
              <w:noProof/>
            </w:rPr>
            <w:t>.docx</w:t>
          </w:r>
          <w:r w:rsidRPr="00F135F8">
            <w:rPr>
              <w:rFonts w:cs="Arial"/>
              <w:noProof/>
            </w:rPr>
            <w:fldChar w:fldCharType="end"/>
          </w:r>
        </w:p>
      </w:tc>
      <w:tc>
        <w:tcPr>
          <w:tcW w:w="3038" w:type="dxa"/>
          <w:shd w:val="clear" w:color="auto" w:fill="auto"/>
        </w:tcPr>
        <w:p w:rsidR="00BF4998" w:rsidRPr="00F135F8" w:rsidP="007F09D6">
          <w:pPr>
            <w:pStyle w:val="Footer"/>
            <w:tabs>
              <w:tab w:val="clear" w:pos="4536"/>
              <w:tab w:val="clear" w:pos="5643"/>
              <w:tab w:val="clear" w:pos="7182"/>
              <w:tab w:val="clear" w:pos="8820"/>
            </w:tabs>
            <w:spacing w:before="60" w:after="0"/>
            <w:ind w:right="0"/>
            <w:rPr>
              <w:rFonts w:cs="Arial"/>
              <w:noProof/>
            </w:rPr>
          </w:pPr>
        </w:p>
      </w:tc>
      <w:tc>
        <w:tcPr>
          <w:tcW w:w="1658" w:type="dxa"/>
          <w:shd w:val="clear" w:color="auto" w:fill="auto"/>
        </w:tcPr>
        <w:p w:rsidR="00BF4998" w:rsidRPr="00F135F8" w:rsidP="001D7133">
          <w:pPr>
            <w:pStyle w:val="Footer"/>
            <w:tabs>
              <w:tab w:val="clear" w:pos="4536"/>
              <w:tab w:val="clear" w:pos="5643"/>
              <w:tab w:val="clear" w:pos="7182"/>
              <w:tab w:val="clear" w:pos="8820"/>
            </w:tabs>
            <w:spacing w:before="60" w:after="0"/>
            <w:ind w:right="0"/>
            <w:jc w:val="right"/>
            <w:rPr>
              <w:rFonts w:cs="Arial"/>
              <w:noProof/>
            </w:rPr>
          </w:pPr>
          <w:r w:rsidRPr="00F135F8">
            <w:rPr>
              <w:rFonts w:cs="Arial"/>
              <w:noProof/>
            </w:rPr>
            <w:t xml:space="preserve">Seite </w:t>
          </w:r>
          <w:r w:rsidRPr="00F135F8">
            <w:rPr>
              <w:rFonts w:cs="Arial"/>
              <w:noProof/>
            </w:rPr>
            <w:fldChar w:fldCharType="begin"/>
          </w:r>
          <w:r w:rsidRPr="00F135F8">
            <w:rPr>
              <w:rFonts w:cs="Arial"/>
              <w:noProof/>
            </w:rPr>
            <w:instrText xml:space="preserve"> PAGE </w:instrText>
          </w:r>
          <w:r w:rsidRPr="00F135F8">
            <w:rPr>
              <w:rFonts w:cs="Arial"/>
              <w:noProof/>
            </w:rPr>
            <w:fldChar w:fldCharType="separate"/>
          </w:r>
          <w:r w:rsidRPr="00F135F8">
            <w:rPr>
              <w:rFonts w:ascii="Verdana" w:eastAsia="MS Mincho" w:hAnsi="Verdana" w:cs="Arial"/>
              <w:noProof/>
              <w:sz w:val="14"/>
              <w:szCs w:val="14"/>
              <w:lang w:val="de-DE" w:eastAsia="de-DE" w:bidi="ar-SA"/>
            </w:rPr>
            <w:t>1</w:t>
          </w:r>
          <w:r w:rsidRPr="00F135F8">
            <w:rPr>
              <w:rFonts w:cs="Arial"/>
              <w:noProof/>
            </w:rPr>
            <w:fldChar w:fldCharType="end"/>
          </w:r>
          <w:r w:rsidRPr="00F135F8">
            <w:rPr>
              <w:rFonts w:cs="Arial"/>
              <w:noProof/>
            </w:rPr>
            <w:t xml:space="preserve"> von </w:t>
          </w:r>
          <w:r w:rsidRPr="00F135F8">
            <w:rPr>
              <w:rFonts w:cs="Arial"/>
              <w:noProof/>
            </w:rPr>
            <w:fldChar w:fldCharType="begin"/>
          </w:r>
          <w:r w:rsidRPr="00F135F8">
            <w:rPr>
              <w:rFonts w:cs="Arial"/>
              <w:noProof/>
            </w:rPr>
            <w:instrText xml:space="preserve"> NUMPAGES </w:instrText>
          </w:r>
          <w:r w:rsidRPr="00F135F8">
            <w:rPr>
              <w:rFonts w:cs="Arial"/>
              <w:noProof/>
            </w:rPr>
            <w:fldChar w:fldCharType="separate"/>
          </w:r>
          <w:r w:rsidRPr="00F135F8">
            <w:rPr>
              <w:rFonts w:ascii="Verdana" w:eastAsia="MS Mincho" w:hAnsi="Verdana" w:cs="Arial"/>
              <w:noProof/>
              <w:sz w:val="14"/>
              <w:szCs w:val="14"/>
              <w:lang w:val="de-DE" w:eastAsia="de-DE" w:bidi="ar-SA"/>
            </w:rPr>
            <w:t>62</w:t>
          </w:r>
          <w:r w:rsidRPr="00F135F8">
            <w:rPr>
              <w:rFonts w:cs="Arial"/>
              <w:noProof/>
            </w:rPr>
            <w:fldChar w:fldCharType="end"/>
          </w:r>
          <w:r w:rsidRPr="00F135F8">
            <w:rPr>
              <w:rFonts w:cs="Arial"/>
              <w:noProof/>
            </w:rPr>
            <w:t xml:space="preserve"> </w:t>
          </w:r>
        </w:p>
      </w:tc>
    </w:tr>
    <w:tr w:rsidTr="00AC35BF">
      <w:tblPrEx>
        <w:tblW w:w="5000" w:type="pct"/>
        <w:tblCellMar>
          <w:left w:w="0" w:type="dxa"/>
          <w:right w:w="0" w:type="dxa"/>
        </w:tblCellMar>
        <w:tblLook w:val="01E0"/>
      </w:tblPrEx>
      <w:tc>
        <w:tcPr>
          <w:tcW w:w="3686" w:type="dxa"/>
          <w:shd w:val="clear" w:color="auto" w:fill="auto"/>
        </w:tcPr>
        <w:p w:rsidR="00BF4998" w:rsidRPr="00F135F8" w:rsidP="007F09D6">
          <w:pPr>
            <w:pStyle w:val="Footer"/>
            <w:tabs>
              <w:tab w:val="clear" w:pos="4536"/>
              <w:tab w:val="clear" w:pos="5643"/>
              <w:tab w:val="clear" w:pos="7182"/>
              <w:tab w:val="clear" w:pos="8820"/>
            </w:tabs>
            <w:ind w:right="0"/>
            <w:rPr>
              <w:rFonts w:cs="Arial"/>
            </w:rPr>
          </w:pPr>
          <w:r w:rsidRPr="00F135F8">
            <w:rPr>
              <w:rFonts w:cs="Arial"/>
            </w:rPr>
            <w:t xml:space="preserve">Version: </w:t>
          </w:r>
          <w:r w:rsidR="007F09D6">
            <w:rPr>
              <w:rStyle w:val="cfVersion"/>
              <w:rFonts w:cs="Arial"/>
            </w:rPr>
            <w:t>1.0.1_CC</w:t>
          </w:r>
        </w:p>
      </w:tc>
      <w:tc>
        <w:tcPr>
          <w:tcW w:w="3038" w:type="dxa"/>
          <w:shd w:val="clear" w:color="auto" w:fill="auto"/>
        </w:tcPr>
        <w:p w:rsidR="00BF4998" w:rsidRPr="00F135F8" w:rsidP="007F09D6">
          <w:pPr>
            <w:pStyle w:val="Footer"/>
            <w:tabs>
              <w:tab w:val="clear" w:pos="4536"/>
              <w:tab w:val="clear" w:pos="5643"/>
              <w:tab w:val="clear" w:pos="7182"/>
              <w:tab w:val="clear" w:pos="8820"/>
            </w:tabs>
            <w:ind w:right="0"/>
            <w:rPr>
              <w:rFonts w:cs="Arial"/>
            </w:rPr>
          </w:pPr>
          <w:r w:rsidRPr="00F135F8">
            <w:rPr>
              <w:rStyle w:val="PageNumber"/>
              <w:rFonts w:cs="Arial"/>
              <w:sz w:val="14"/>
            </w:rPr>
            <w:t xml:space="preserve">© </w:t>
          </w:r>
          <w:r w:rsidRPr="00F135F8">
            <w:rPr>
              <w:rStyle w:val="PageNumber"/>
              <w:rFonts w:cs="Arial"/>
              <w:sz w:val="14"/>
              <w:szCs w:val="16"/>
            </w:rPr>
            <w:t xml:space="preserve">gematik – </w:t>
          </w:r>
          <w:r w:rsidR="007F09D6">
            <w:rPr>
              <w:rStyle w:val="cfKlassifizierung"/>
              <w:rFonts w:cs="Arial"/>
              <w:sz w:val="14"/>
            </w:rPr>
            <w:t>öffentlich_Entwurf</w:t>
          </w:r>
        </w:p>
      </w:tc>
      <w:tc>
        <w:tcPr>
          <w:tcW w:w="1658" w:type="dxa"/>
          <w:shd w:val="clear" w:color="auto" w:fill="auto"/>
        </w:tcPr>
        <w:p w:rsidR="00BF4998" w:rsidRPr="00F135F8" w:rsidP="007F09D6">
          <w:pPr>
            <w:pStyle w:val="Footer"/>
            <w:tabs>
              <w:tab w:val="clear" w:pos="4536"/>
              <w:tab w:val="clear" w:pos="5643"/>
              <w:tab w:val="clear" w:pos="7182"/>
              <w:tab w:val="clear" w:pos="8820"/>
            </w:tabs>
            <w:ind w:right="0"/>
            <w:jc w:val="right"/>
            <w:rPr>
              <w:rFonts w:cs="Arial"/>
            </w:rPr>
          </w:pPr>
          <w:r w:rsidRPr="00F135F8">
            <w:rPr>
              <w:rFonts w:cs="Arial"/>
            </w:rPr>
            <w:t xml:space="preserve">Stand: </w:t>
          </w:r>
          <w:r w:rsidR="007F09D6">
            <w:rPr>
              <w:rStyle w:val="cfStand"/>
              <w:rFonts w:cs="Arial"/>
            </w:rPr>
            <w:t>07.06.2024</w:t>
          </w:r>
          <w:r w:rsidRPr="00F135F8">
            <w:rPr>
              <w:rFonts w:cs="Arial"/>
            </w:rPr>
            <w:t xml:space="preserve"> </w:t>
          </w:r>
        </w:p>
      </w:tc>
    </w:tr>
  </w:tbl>
  <w:p w:rsidR="00EA13DF" w:rsidP="00582340">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
    <w:tblGrid>
      <w:gridCol w:w="5616"/>
      <w:gridCol w:w="3454"/>
    </w:tblGrid>
    <w:tr w:rsidTr="00F21802">
      <w:tblPrEx>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tblPrEx>
      <w:tc>
        <w:tcPr>
          <w:tcW w:w="5529" w:type="dxa"/>
        </w:tcPr>
        <w:p w:rsidR="00F47F0B" w:rsidRPr="00F135F8" w:rsidP="00425A2B">
          <w:pPr>
            <w:pStyle w:val="cfReference"/>
            <w:rPr>
              <w:sz w:val="24"/>
            </w:rPr>
          </w:pPr>
          <w:r w:rsidR="00425A2B">
            <w:t>Feature Zero-Trust</w:t>
          </w:r>
          <w:r w:rsidRPr="00F135F8" w:rsidR="00F615ED">
            <w:rPr>
              <w:rStyle w:val="cfProductTypeVersion"/>
            </w:rPr>
            <w:t xml:space="preserve"> </w:t>
          </w:r>
          <w:r w:rsidR="0022440D">
            <w:t xml:space="preserve"> </w:t>
          </w:r>
        </w:p>
      </w:tc>
      <w:tc>
        <w:tcPr>
          <w:tcW w:w="3400" w:type="dxa"/>
        </w:tcPr>
        <w:p w:rsidR="00F47F0B" w:rsidRPr="00F135F8" w:rsidP="001C4A08">
          <w:pPr>
            <w:pStyle w:val="gemStandard"/>
            <w:ind w:hanging="103"/>
            <w:jc w:val="right"/>
            <w:rPr>
              <w:sz w:val="24"/>
            </w:rPr>
          </w:pPr>
          <w:r w:rsidRPr="00D67F13">
            <w:rPr>
              <w:noProof/>
            </w:rPr>
            <w:drawing>
              <wp:inline distT="0" distB="0" distL="0" distR="0">
                <wp:extent cx="1260000" cy="232909"/>
                <wp:effectExtent l="0" t="0" r="0" b="0"/>
                <wp:docPr id="1" name="Grafik 1" descr="C:\Users\steffi.eder\Desktop\neuesDesign\Gematik_Logo_Fl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C:\Users\steffi.eder\Desktop\neuesDesign\Gematik_Logo_Flag.jpg"/>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260000" cy="232909"/>
                        </a:xfrm>
                        <a:prstGeom prst="rect">
                          <a:avLst/>
                        </a:prstGeom>
                        <a:noFill/>
                        <a:ln>
                          <a:noFill/>
                        </a:ln>
                      </pic:spPr>
                    </pic:pic>
                  </a:graphicData>
                </a:graphic>
              </wp:inline>
            </w:drawing>
          </w:r>
        </w:p>
      </w:tc>
    </w:tr>
  </w:tbl>
  <w:p w:rsidR="00EA13DF" w:rsidP="00E05B49">
    <w:pPr>
      <w:pStyle w:val="gemStandar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3DF" w:rsidP="00AC35BF">
    <w:pPr>
      <w:pStyle w:val="Header"/>
      <w:tabs>
        <w:tab w:val="clear" w:pos="4536"/>
        <w:tab w:val="clear" w:pos="9072"/>
      </w:tabs>
      <w:jc w:val="right"/>
    </w:pPr>
    <w:r w:rsidRPr="00AC35BF">
      <w:rPr>
        <w:noProof/>
      </w:rPr>
      <w:drawing>
        <wp:inline distT="0" distB="0" distL="0" distR="0">
          <wp:extent cx="1872000" cy="346320"/>
          <wp:effectExtent l="0" t="0" r="0" b="0"/>
          <wp:docPr id="2" name="Grafik 2" descr="C:\Users\steffi.eder\Desktop\neuesDesign\Gematik_Logo_Fl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C:\Users\steffi.eder\Desktop\neuesDesign\Gematik_Logo_Flag.jpg"/>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1872000" cy="34632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77F5B"/>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1">
    <w:nsid w:val="0468D528"/>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2">
    <w:nsid w:val="0D95DB8D"/>
    <w:multiLevelType w:val="hybridMultilevel"/>
    <w:tmpl w:val="00000000"/>
    <w:lvl w:ilvl="0">
      <w:start w:val="1"/>
      <w:numFmt w:val="decimal"/>
      <w:lvlText w:val="%1."/>
      <w:lvlJc w:val="left"/>
      <w:pPr>
        <w:ind w:left="360" w:hanging="360" w:leftChars="180"/>
      </w:pPr>
    </w:lvl>
    <w:lvl w:ilvl="1">
      <w:start w:val="1"/>
      <w:numFmt w:val="lowerLetter"/>
      <w:lvlText w:val="%2."/>
      <w:lvlJc w:val="left"/>
      <w:pPr>
        <w:ind w:left="720" w:hanging="360" w:leftChars="360"/>
      </w:pPr>
    </w:lvl>
    <w:lvl w:ilvl="2">
      <w:start w:val="1"/>
      <w:numFmt w:val="lowerRoman"/>
      <w:lvlText w:val="%3."/>
      <w:lvlJc w:val="left"/>
      <w:pPr>
        <w:ind w:left="1080" w:hanging="360" w:leftChars="540"/>
      </w:pPr>
    </w:lvl>
    <w:lvl w:ilvl="3">
      <w:start w:val="1"/>
      <w:numFmt w:val="upperLetter"/>
      <w:lvlText w:val="%4."/>
      <w:lvlJc w:val="left"/>
      <w:pPr>
        <w:ind w:left="1440" w:hanging="360" w:leftChars="720"/>
      </w:pPr>
    </w:lvl>
    <w:lvl w:ilvl="4">
      <w:start w:val="1"/>
      <w:numFmt w:val="upperRoman"/>
      <w:lvlText w:val="%5."/>
      <w:lvlJc w:val="left"/>
      <w:pPr>
        <w:ind w:left="1800" w:hanging="360" w:leftChars="900"/>
      </w:pPr>
    </w:lvl>
    <w:lvl w:ilvl="5">
      <w:start w:val="1"/>
      <w:numFmt w:val="decimal"/>
      <w:lvlText w:val="%6."/>
      <w:lvlJc w:val="left"/>
      <w:pPr>
        <w:ind w:left="2160" w:hanging="360" w:leftChars="1080"/>
      </w:pPr>
    </w:lvl>
    <w:lvl w:ilvl="6">
      <w:start w:val="1"/>
      <w:numFmt w:val="lowerLetter"/>
      <w:lvlText w:val="%7."/>
      <w:lvlJc w:val="left"/>
      <w:pPr>
        <w:ind w:left="2520" w:hanging="360" w:leftChars="1260"/>
      </w:pPr>
    </w:lvl>
    <w:lvl w:ilvl="7">
      <w:start w:val="1"/>
      <w:numFmt w:val="lowerRoman"/>
      <w:lvlText w:val="%8."/>
      <w:lvlJc w:val="left"/>
      <w:pPr>
        <w:ind w:left="2880" w:hanging="360" w:leftChars="1440"/>
      </w:pPr>
    </w:lvl>
    <w:lvl w:ilvl="8">
      <w:start w:val="1"/>
      <w:numFmt w:val="upperLetter"/>
      <w:lvlText w:val="%9."/>
      <w:lvlJc w:val="left"/>
      <w:pPr>
        <w:ind w:left="3240" w:hanging="360" w:leftChars="1620"/>
      </w:pPr>
    </w:lvl>
  </w:abstractNum>
  <w:abstractNum w:abstractNumId="3">
    <w:nsid w:val="122DA312"/>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4">
    <w:nsid w:val="150DB176"/>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5">
    <w:nsid w:val="16C7C846"/>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6">
    <w:nsid w:val="17EC8D99"/>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7">
    <w:nsid w:val="18B101DB"/>
    <w:multiLevelType w:val="hybridMultilevel"/>
    <w:tmpl w:val="B9AC8066"/>
    <w:lvl w:ilvl="0">
      <w:start w:val="1"/>
      <w:numFmt w:val="bullet"/>
      <w:pStyle w:val="gemTabAufzhlung"/>
      <w:lvlText w:val=""/>
      <w:lvlJc w:val="left"/>
      <w:pPr>
        <w:tabs>
          <w:tab w:val="num" w:pos="907"/>
        </w:tabs>
        <w:ind w:left="1247" w:hanging="283"/>
      </w:pPr>
      <w:rPr>
        <w:rFonts w:ascii="Wingdings" w:hAnsi="Wingdings" w:hint="default"/>
      </w:rPr>
    </w:lvl>
    <w:lvl w:ilvl="1" w:tentative="1">
      <w:start w:val="1"/>
      <w:numFmt w:val="bullet"/>
      <w:lvlText w:val="o"/>
      <w:lvlJc w:val="left"/>
      <w:pPr>
        <w:tabs>
          <w:tab w:val="num" w:pos="2880"/>
        </w:tabs>
        <w:ind w:left="2880" w:hanging="360"/>
      </w:pPr>
      <w:rPr>
        <w:rFonts w:ascii="Courier New" w:hAnsi="Courier New" w:cs="Courier New" w:hint="default"/>
      </w:rPr>
    </w:lvl>
    <w:lvl w:ilvl="2" w:tentative="1">
      <w:start w:val="1"/>
      <w:numFmt w:val="bullet"/>
      <w:lvlText w:val=""/>
      <w:lvlJc w:val="left"/>
      <w:pPr>
        <w:tabs>
          <w:tab w:val="num" w:pos="3600"/>
        </w:tabs>
        <w:ind w:left="3600" w:hanging="360"/>
      </w:pPr>
      <w:rPr>
        <w:rFonts w:ascii="Wingdings" w:hAnsi="Wingdings" w:hint="default"/>
      </w:rPr>
    </w:lvl>
    <w:lvl w:ilvl="3" w:tentative="1">
      <w:start w:val="1"/>
      <w:numFmt w:val="bullet"/>
      <w:lvlText w:val=""/>
      <w:lvlJc w:val="left"/>
      <w:pPr>
        <w:tabs>
          <w:tab w:val="num" w:pos="4320"/>
        </w:tabs>
        <w:ind w:left="4320" w:hanging="360"/>
      </w:pPr>
      <w:rPr>
        <w:rFonts w:ascii="Symbol" w:hAnsi="Symbol" w:hint="default"/>
      </w:rPr>
    </w:lvl>
    <w:lvl w:ilvl="4" w:tentative="1">
      <w:start w:val="1"/>
      <w:numFmt w:val="bullet"/>
      <w:lvlText w:val="o"/>
      <w:lvlJc w:val="left"/>
      <w:pPr>
        <w:tabs>
          <w:tab w:val="num" w:pos="5040"/>
        </w:tabs>
        <w:ind w:left="5040" w:hanging="360"/>
      </w:pPr>
      <w:rPr>
        <w:rFonts w:ascii="Courier New" w:hAnsi="Courier New" w:cs="Courier New" w:hint="default"/>
      </w:rPr>
    </w:lvl>
    <w:lvl w:ilvl="5" w:tentative="1">
      <w:start w:val="1"/>
      <w:numFmt w:val="bullet"/>
      <w:lvlText w:val=""/>
      <w:lvlJc w:val="left"/>
      <w:pPr>
        <w:tabs>
          <w:tab w:val="num" w:pos="5760"/>
        </w:tabs>
        <w:ind w:left="5760" w:hanging="360"/>
      </w:pPr>
      <w:rPr>
        <w:rFonts w:ascii="Wingdings" w:hAnsi="Wingdings" w:hint="default"/>
      </w:rPr>
    </w:lvl>
    <w:lvl w:ilvl="6" w:tentative="1">
      <w:start w:val="1"/>
      <w:numFmt w:val="bullet"/>
      <w:lvlText w:val=""/>
      <w:lvlJc w:val="left"/>
      <w:pPr>
        <w:tabs>
          <w:tab w:val="num" w:pos="6480"/>
        </w:tabs>
        <w:ind w:left="6480" w:hanging="360"/>
      </w:pPr>
      <w:rPr>
        <w:rFonts w:ascii="Symbol" w:hAnsi="Symbol" w:hint="default"/>
      </w:rPr>
    </w:lvl>
    <w:lvl w:ilvl="7" w:tentative="1">
      <w:start w:val="1"/>
      <w:numFmt w:val="bullet"/>
      <w:lvlText w:val="o"/>
      <w:lvlJc w:val="left"/>
      <w:pPr>
        <w:tabs>
          <w:tab w:val="num" w:pos="7200"/>
        </w:tabs>
        <w:ind w:left="7200" w:hanging="360"/>
      </w:pPr>
      <w:rPr>
        <w:rFonts w:ascii="Courier New" w:hAnsi="Courier New" w:cs="Courier New" w:hint="default"/>
      </w:rPr>
    </w:lvl>
    <w:lvl w:ilvl="8" w:tentative="1">
      <w:start w:val="1"/>
      <w:numFmt w:val="bullet"/>
      <w:lvlText w:val=""/>
      <w:lvlJc w:val="left"/>
      <w:pPr>
        <w:tabs>
          <w:tab w:val="num" w:pos="7920"/>
        </w:tabs>
        <w:ind w:left="7920" w:hanging="360"/>
      </w:pPr>
      <w:rPr>
        <w:rFonts w:ascii="Wingdings" w:hAnsi="Wingdings" w:hint="default"/>
      </w:rPr>
    </w:lvl>
  </w:abstractNum>
  <w:abstractNum w:abstractNumId="8">
    <w:nsid w:val="19E38E6D"/>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9">
    <w:nsid w:val="1EABBF27"/>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10">
    <w:nsid w:val="2320F70F"/>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11">
    <w:nsid w:val="2BCAB5DA"/>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12">
    <w:nsid w:val="310A8E9D"/>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13">
    <w:nsid w:val="317472C0"/>
    <w:multiLevelType w:val="multilevel"/>
    <w:tmpl w:val="060C7A64"/>
    <w:lvl w:ilvl="0">
      <w:start w:val="1"/>
      <w:numFmt w:val="decimal"/>
      <w:pStyle w:val="Heading1"/>
      <w:suff w:val="space"/>
      <w:lvlText w:val="%1"/>
      <w:lvlJc w:val="left"/>
    </w:lvl>
    <w:lvl w:ilvl="1">
      <w:start w:val="1"/>
      <w:numFmt w:val="decimal"/>
      <w:pStyle w:val="Heading2"/>
      <w:suff w:val="space"/>
      <w:lvlText w:val="%1.%2"/>
      <w:lvlJc w:val="left"/>
    </w:lvl>
    <w:lvl w:ilvl="2">
      <w:start w:val="1"/>
      <w:numFmt w:val="decimal"/>
      <w:pStyle w:val="Heading3"/>
      <w:suff w:val="space"/>
      <w:lvlText w:val="%1.%2.%3"/>
      <w:lvlJc w:val="left"/>
    </w:lvl>
    <w:lvl w:ilvl="3">
      <w:start w:val="1"/>
      <w:numFmt w:val="decimal"/>
      <w:pStyle w:val="Heading4"/>
      <w:suff w:val="space"/>
      <w:lvlText w:val="%1.%2.%3.%4"/>
      <w:lvlJc w:val="left"/>
    </w:lvl>
    <w:lvl w:ilvl="4">
      <w:start w:val="1"/>
      <w:numFmt w:val="decimal"/>
      <w:pStyle w:val="Heading5"/>
      <w:suff w:val="space"/>
      <w:lvlText w:val="%1.%2.%3.%4.%5"/>
      <w:lvlJc w:val="left"/>
    </w:lvl>
    <w:lvl w:ilvl="5">
      <w:start w:val="1"/>
      <w:numFmt w:val="decimal"/>
      <w:pStyle w:val="Heading6"/>
      <w:suff w:val="space"/>
      <w:lvlText w:val="%1.%2.%3.%4.%5.%6"/>
      <w:lvlJc w:val="left"/>
    </w:lvl>
    <w:lvl w:ilvl="6">
      <w:start w:val="1"/>
      <w:numFmt w:val="decimal"/>
      <w:pStyle w:val="Heading7"/>
      <w:suff w:val="space"/>
      <w:lvlText w:val="%1.%2.%3.%4.%5.%6.%7"/>
      <w:lvlJc w:val="left"/>
      <w:rPr>
        <w:sz w:val="20"/>
      </w:rPr>
    </w:lvl>
    <w:lvl w:ilvl="7">
      <w:start w:val="1"/>
      <w:numFmt w:val="decimal"/>
      <w:pStyle w:val="Heading8"/>
      <w:suff w:val="space"/>
      <w:lvlText w:val="%1.%2.%3.%4.%5.%6.%7.%8"/>
      <w:lvlJc w:val="left"/>
    </w:lvl>
    <w:lvl w:ilvl="8">
      <w:start w:val="1"/>
      <w:numFmt w:val="decimal"/>
      <w:pStyle w:val="Heading9"/>
      <w:suff w:val="space"/>
      <w:lvlText w:val="%1.%2.%3.%4.%5.%6.%7.%8.%9"/>
      <w:lvlJc w:val="left"/>
    </w:lvl>
  </w:abstractNum>
  <w:abstractNum w:abstractNumId="14">
    <w:nsid w:val="339E73DF"/>
    <w:multiLevelType w:val="hybridMultilevel"/>
    <w:tmpl w:val="EA2E9256"/>
    <w:lvl w:ilvl="0">
      <w:start w:val="1"/>
      <w:numFmt w:val="bullet"/>
      <w:pStyle w:val="gemAufzhlung"/>
      <w:lvlText w:val=""/>
      <w:lvlJc w:val="left"/>
      <w:pPr>
        <w:tabs>
          <w:tab w:val="num" w:pos="1903"/>
        </w:tabs>
        <w:ind w:left="1903" w:hanging="283"/>
      </w:pPr>
      <w:rPr>
        <w:rFonts w:ascii="Symbol" w:hAnsi="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cs="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cs="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15">
    <w:nsid w:val="36BD1AA9"/>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16">
    <w:nsid w:val="3979099E"/>
    <w:multiLevelType w:val="multilevel"/>
    <w:tmpl w:val="57C0B2B4"/>
    <w:lvl w:ilvl="0">
      <w:start w:val="1"/>
      <w:numFmt w:val="decimal"/>
      <w:pStyle w:val="gem1"/>
      <w:lvlText w:val="%1"/>
      <w:lvlJc w:val="left"/>
      <w:pPr>
        <w:tabs>
          <w:tab w:val="num" w:pos="432"/>
        </w:tabs>
        <w:ind w:left="432" w:hanging="432"/>
      </w:pPr>
      <w:rPr>
        <w:rFonts w:hint="default"/>
      </w:rPr>
    </w:lvl>
    <w:lvl w:ilvl="1">
      <w:start w:val="1"/>
      <w:numFmt w:val="decimal"/>
      <w:pStyle w:val="gem2"/>
      <w:lvlText w:val="%1.%2"/>
      <w:lvlJc w:val="left"/>
      <w:pPr>
        <w:tabs>
          <w:tab w:val="num" w:pos="576"/>
        </w:tabs>
        <w:ind w:left="576" w:hanging="576"/>
      </w:pPr>
      <w:rPr>
        <w:rFonts w:hint="default"/>
      </w:rPr>
    </w:lvl>
    <w:lvl w:ilvl="2">
      <w:start w:val="1"/>
      <w:numFmt w:val="decimal"/>
      <w:pStyle w:val="gem3"/>
      <w:lvlText w:val="%1.%2.%3"/>
      <w:lvlJc w:val="left"/>
      <w:pPr>
        <w:tabs>
          <w:tab w:val="num" w:pos="1080"/>
        </w:tabs>
        <w:ind w:left="1080" w:hanging="720"/>
      </w:pPr>
      <w:rPr>
        <w:rFonts w:hint="default"/>
      </w:rPr>
    </w:lvl>
    <w:lvl w:ilvl="3">
      <w:start w:val="1"/>
      <w:numFmt w:val="decimal"/>
      <w:pStyle w:val="gem4"/>
      <w:lvlText w:val="%1.%2.%3.%4"/>
      <w:lvlJc w:val="left"/>
      <w:pPr>
        <w:tabs>
          <w:tab w:val="num" w:pos="864"/>
        </w:tabs>
        <w:ind w:left="864" w:hanging="864"/>
      </w:pPr>
      <w:rPr>
        <w:rFonts w:hint="default"/>
      </w:rPr>
    </w:lvl>
    <w:lvl w:ilvl="4">
      <w:start w:val="1"/>
      <w:numFmt w:val="decimal"/>
      <w:pStyle w:val="gem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9F949B5"/>
    <w:multiLevelType w:val="hybridMultilevel"/>
    <w:tmpl w:val="BDB6766E"/>
    <w:lvl w:ilvl="0">
      <w:start w:val="1"/>
      <w:numFmt w:val="decimal"/>
      <w:pStyle w:val="gemListe"/>
      <w:lvlText w:val="(%1)"/>
      <w:lvlJc w:val="left"/>
      <w:pPr>
        <w:tabs>
          <w:tab w:val="num" w:pos="182"/>
        </w:tabs>
        <w:ind w:left="737" w:hanging="340"/>
      </w:pPr>
      <w:rPr>
        <w:rFonts w:hint="default"/>
      </w:rPr>
    </w:lvl>
    <w:lvl w:ilvl="1">
      <w:start w:val="1"/>
      <w:numFmt w:val="lowerLetter"/>
      <w:lvlText w:val="%2."/>
      <w:lvlJc w:val="left"/>
      <w:pPr>
        <w:tabs>
          <w:tab w:val="num" w:pos="1982"/>
        </w:tabs>
        <w:ind w:left="1982" w:hanging="360"/>
      </w:pPr>
    </w:lvl>
    <w:lvl w:ilvl="2" w:tentative="1">
      <w:start w:val="1"/>
      <w:numFmt w:val="lowerRoman"/>
      <w:lvlText w:val="%3."/>
      <w:lvlJc w:val="right"/>
      <w:pPr>
        <w:tabs>
          <w:tab w:val="num" w:pos="2702"/>
        </w:tabs>
        <w:ind w:left="2702" w:hanging="180"/>
      </w:pPr>
    </w:lvl>
    <w:lvl w:ilvl="3" w:tentative="1">
      <w:start w:val="1"/>
      <w:numFmt w:val="decimal"/>
      <w:lvlText w:val="%4."/>
      <w:lvlJc w:val="left"/>
      <w:pPr>
        <w:tabs>
          <w:tab w:val="num" w:pos="3422"/>
        </w:tabs>
        <w:ind w:left="3422" w:hanging="360"/>
      </w:pPr>
    </w:lvl>
    <w:lvl w:ilvl="4" w:tentative="1">
      <w:start w:val="1"/>
      <w:numFmt w:val="lowerLetter"/>
      <w:lvlText w:val="%5."/>
      <w:lvlJc w:val="left"/>
      <w:pPr>
        <w:tabs>
          <w:tab w:val="num" w:pos="4142"/>
        </w:tabs>
        <w:ind w:left="4142" w:hanging="360"/>
      </w:pPr>
    </w:lvl>
    <w:lvl w:ilvl="5" w:tentative="1">
      <w:start w:val="1"/>
      <w:numFmt w:val="lowerRoman"/>
      <w:lvlText w:val="%6."/>
      <w:lvlJc w:val="right"/>
      <w:pPr>
        <w:tabs>
          <w:tab w:val="num" w:pos="4862"/>
        </w:tabs>
        <w:ind w:left="4862" w:hanging="180"/>
      </w:pPr>
    </w:lvl>
    <w:lvl w:ilvl="6" w:tentative="1">
      <w:start w:val="1"/>
      <w:numFmt w:val="decimal"/>
      <w:lvlText w:val="%7."/>
      <w:lvlJc w:val="left"/>
      <w:pPr>
        <w:tabs>
          <w:tab w:val="num" w:pos="5582"/>
        </w:tabs>
        <w:ind w:left="5582" w:hanging="360"/>
      </w:pPr>
    </w:lvl>
    <w:lvl w:ilvl="7" w:tentative="1">
      <w:start w:val="1"/>
      <w:numFmt w:val="lowerLetter"/>
      <w:lvlText w:val="%8."/>
      <w:lvlJc w:val="left"/>
      <w:pPr>
        <w:tabs>
          <w:tab w:val="num" w:pos="6302"/>
        </w:tabs>
        <w:ind w:left="6302" w:hanging="360"/>
      </w:pPr>
    </w:lvl>
    <w:lvl w:ilvl="8" w:tentative="1">
      <w:start w:val="1"/>
      <w:numFmt w:val="lowerRoman"/>
      <w:lvlText w:val="%9."/>
      <w:lvlJc w:val="right"/>
      <w:pPr>
        <w:tabs>
          <w:tab w:val="num" w:pos="7022"/>
        </w:tabs>
        <w:ind w:left="7022" w:hanging="180"/>
      </w:pPr>
    </w:lvl>
  </w:abstractNum>
  <w:abstractNum w:abstractNumId="18">
    <w:nsid w:val="3C568A42"/>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19">
    <w:nsid w:val="3F82107B"/>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20">
    <w:nsid w:val="3FE9CB12"/>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21">
    <w:nsid w:val="40BDF978"/>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22">
    <w:nsid w:val="421452DC"/>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23">
    <w:nsid w:val="4A987BA0"/>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24">
    <w:nsid w:val="4ACD14C7"/>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25">
    <w:nsid w:val="554E56FA"/>
    <w:multiLevelType w:val="hybridMultilevel"/>
    <w:tmpl w:val="FFDEB14E"/>
    <w:lvl w:ilvl="0">
      <w:start w:val="1"/>
      <w:numFmt w:val="bullet"/>
      <w:pStyle w:val="gemZwischenberschrif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618FDBE3"/>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27">
    <w:nsid w:val="63B375E4"/>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28">
    <w:nsid w:val="6762565D"/>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29">
    <w:nsid w:val="678AFB6F"/>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30">
    <w:nsid w:val="6B9F0A41"/>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31">
    <w:nsid w:val="6C7E2255"/>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32">
    <w:nsid w:val="6D1C62C9"/>
    <w:multiLevelType w:val="hybridMultilevel"/>
    <w:tmpl w:val="00000000"/>
    <w:lvl w:ilvl="0">
      <w:start w:val="1"/>
      <w:numFmt w:val="decimal"/>
      <w:lvlText w:val="%1."/>
      <w:lvlJc w:val="left"/>
      <w:pPr>
        <w:ind w:left="360" w:hanging="360" w:leftChars="180"/>
      </w:pPr>
    </w:lvl>
    <w:lvl w:ilvl="1">
      <w:start w:val="1"/>
      <w:numFmt w:val="lowerLetter"/>
      <w:lvlText w:val="%2."/>
      <w:lvlJc w:val="left"/>
      <w:pPr>
        <w:ind w:left="720" w:hanging="360" w:leftChars="360"/>
      </w:pPr>
    </w:lvl>
    <w:lvl w:ilvl="2">
      <w:start w:val="1"/>
      <w:numFmt w:val="lowerRoman"/>
      <w:lvlText w:val="%3."/>
      <w:lvlJc w:val="left"/>
      <w:pPr>
        <w:ind w:left="1080" w:hanging="360" w:leftChars="540"/>
      </w:pPr>
    </w:lvl>
    <w:lvl w:ilvl="3">
      <w:start w:val="1"/>
      <w:numFmt w:val="upperLetter"/>
      <w:lvlText w:val="%4."/>
      <w:lvlJc w:val="left"/>
      <w:pPr>
        <w:ind w:left="1440" w:hanging="360" w:leftChars="720"/>
      </w:pPr>
    </w:lvl>
    <w:lvl w:ilvl="4">
      <w:start w:val="1"/>
      <w:numFmt w:val="upperRoman"/>
      <w:lvlText w:val="%5."/>
      <w:lvlJc w:val="left"/>
      <w:pPr>
        <w:ind w:left="1800" w:hanging="360" w:leftChars="900"/>
      </w:pPr>
    </w:lvl>
    <w:lvl w:ilvl="5">
      <w:start w:val="1"/>
      <w:numFmt w:val="decimal"/>
      <w:lvlText w:val="%6."/>
      <w:lvlJc w:val="left"/>
      <w:pPr>
        <w:ind w:left="2160" w:hanging="360" w:leftChars="1080"/>
      </w:pPr>
    </w:lvl>
    <w:lvl w:ilvl="6">
      <w:start w:val="1"/>
      <w:numFmt w:val="lowerLetter"/>
      <w:lvlText w:val="%7."/>
      <w:lvlJc w:val="left"/>
      <w:pPr>
        <w:ind w:left="2520" w:hanging="360" w:leftChars="1260"/>
      </w:pPr>
    </w:lvl>
    <w:lvl w:ilvl="7">
      <w:start w:val="1"/>
      <w:numFmt w:val="lowerRoman"/>
      <w:lvlText w:val="%8."/>
      <w:lvlJc w:val="left"/>
      <w:pPr>
        <w:ind w:left="2880" w:hanging="360" w:leftChars="1440"/>
      </w:pPr>
    </w:lvl>
    <w:lvl w:ilvl="8">
      <w:start w:val="1"/>
      <w:numFmt w:val="upperLetter"/>
      <w:lvlText w:val="%9."/>
      <w:lvlJc w:val="left"/>
      <w:pPr>
        <w:ind w:left="3240" w:hanging="360" w:leftChars="1620"/>
      </w:pPr>
    </w:lvl>
  </w:abstractNum>
  <w:abstractNum w:abstractNumId="33">
    <w:nsid w:val="6D4F0789"/>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34">
    <w:nsid w:val="71EF2CE2"/>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35">
    <w:nsid w:val="749D2116"/>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36">
    <w:nsid w:val="76161C5B"/>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abstractNum w:abstractNumId="37">
    <w:nsid w:val="7BFFC0E9"/>
    <w:multiLevelType w:val="hybridMultilevel"/>
    <w:tmpl w:val="00000000"/>
    <w:lvl w:ilvl="0">
      <w:start w:val="1"/>
      <w:numFmt w:val="bullet"/>
      <w:lvlText w:val="•"/>
      <w:lvlJc w:val="left"/>
      <w:pPr>
        <w:ind w:left="360" w:hanging="360" w:leftChars="180"/>
      </w:pPr>
    </w:lvl>
    <w:lvl w:ilvl="1">
      <w:start w:val="1"/>
      <w:numFmt w:val="bullet"/>
      <w:lvlText w:val="•"/>
      <w:lvlJc w:val="left"/>
      <w:pPr>
        <w:ind w:left="720" w:hanging="360" w:leftChars="360"/>
      </w:pPr>
    </w:lvl>
    <w:lvl w:ilvl="2">
      <w:start w:val="1"/>
      <w:numFmt w:val="bullet"/>
      <w:lvlText w:val="•"/>
      <w:lvlJc w:val="left"/>
      <w:pPr>
        <w:ind w:left="1080" w:hanging="360" w:leftChars="540"/>
      </w:pPr>
    </w:lvl>
    <w:lvl w:ilvl="3">
      <w:start w:val="1"/>
      <w:numFmt w:val="bullet"/>
      <w:lvlText w:val="•"/>
      <w:lvlJc w:val="left"/>
      <w:pPr>
        <w:ind w:left="1440" w:hanging="360" w:leftChars="720"/>
      </w:pPr>
    </w:lvl>
    <w:lvl w:ilvl="4">
      <w:start w:val="1"/>
      <w:numFmt w:val="bullet"/>
      <w:lvlText w:val="•"/>
      <w:lvlJc w:val="left"/>
      <w:pPr>
        <w:ind w:left="1800" w:hanging="360" w:leftChars="900"/>
      </w:pPr>
    </w:lvl>
    <w:lvl w:ilvl="5">
      <w:start w:val="1"/>
      <w:numFmt w:val="bullet"/>
      <w:lvlText w:val="•"/>
      <w:lvlJc w:val="left"/>
      <w:pPr>
        <w:ind w:left="2160" w:hanging="360" w:leftChars="1080"/>
      </w:pPr>
    </w:lvl>
    <w:lvl w:ilvl="6">
      <w:start w:val="1"/>
      <w:numFmt w:val="bullet"/>
      <w:lvlText w:val="•"/>
      <w:lvlJc w:val="left"/>
      <w:pPr>
        <w:ind w:left="2520" w:hanging="360" w:leftChars="1260"/>
      </w:pPr>
    </w:lvl>
    <w:lvl w:ilvl="7">
      <w:start w:val="1"/>
      <w:numFmt w:val="bullet"/>
      <w:lvlText w:val="•"/>
      <w:lvlJc w:val="left"/>
      <w:pPr>
        <w:ind w:left="2880" w:hanging="360" w:leftChars="1440"/>
      </w:pPr>
    </w:lvl>
    <w:lvl w:ilvl="8">
      <w:start w:val="1"/>
      <w:numFmt w:val="bullet"/>
      <w:lvlText w:val="•"/>
      <w:lvlJc w:val="left"/>
      <w:pPr>
        <w:ind w:left="3240" w:hanging="360" w:leftChars="1620"/>
      </w:pPr>
    </w:lvl>
  </w:abstractNum>
  <w:num w:numId="1">
    <w:abstractNumId w:val="17"/>
  </w:num>
  <w:num w:numId="2">
    <w:abstractNumId w:val="16"/>
  </w:num>
  <w:num w:numId="3">
    <w:abstractNumId w:val="25"/>
  </w:num>
  <w:num w:numId="4">
    <w:abstractNumId w:val="14"/>
  </w:num>
  <w:num w:numId="5">
    <w:abstractNumId w:val="7"/>
  </w:num>
  <w:num w:numId="6">
    <w:abstractNumId w:val="13"/>
  </w:num>
  <w:num w:numId="7">
    <w:abstractNumId w:val="1"/>
    <w:lvlOverride w:ilvl="0">
      <w:startOverride w:val="1"/>
    </w:lvlOverride>
  </w:num>
  <w:num w:numId="8">
    <w:abstractNumId w:val="24"/>
    <w:lvlOverride w:ilvl="0">
      <w:startOverride w:val="1"/>
    </w:lvlOverride>
  </w:num>
  <w:num w:numId="9">
    <w:abstractNumId w:val="34"/>
    <w:lvlOverride w:ilvl="0">
      <w:startOverride w:val="1"/>
    </w:lvlOverride>
  </w:num>
  <w:num w:numId="10">
    <w:abstractNumId w:val="33"/>
    <w:lvlOverride w:ilvl="0">
      <w:startOverride w:val="1"/>
    </w:lvlOverride>
  </w:num>
  <w:num w:numId="11">
    <w:abstractNumId w:val="3"/>
    <w:lvlOverride w:ilvl="0">
      <w:startOverride w:val="1"/>
    </w:lvlOverride>
  </w:num>
  <w:num w:numId="12">
    <w:abstractNumId w:val="10"/>
    <w:lvlOverride w:ilvl="0">
      <w:startOverride w:val="1"/>
    </w:lvlOverride>
  </w:num>
  <w:num w:numId="13">
    <w:abstractNumId w:val="36"/>
    <w:lvlOverride w:ilvl="0">
      <w:startOverride w:val="1"/>
    </w:lvlOverride>
  </w:num>
  <w:num w:numId="14">
    <w:abstractNumId w:val="23"/>
    <w:lvlOverride w:ilvl="0">
      <w:startOverride w:val="1"/>
    </w:lvlOverride>
  </w:num>
  <w:num w:numId="15">
    <w:abstractNumId w:val="28"/>
    <w:lvlOverride w:ilvl="0">
      <w:startOverride w:val="1"/>
    </w:lvlOverride>
  </w:num>
  <w:num w:numId="16">
    <w:abstractNumId w:val="12"/>
    <w:lvlOverride w:ilvl="0">
      <w:startOverride w:val="1"/>
    </w:lvlOverride>
  </w:num>
  <w:num w:numId="17">
    <w:abstractNumId w:val="2"/>
    <w:lvlOverride w:ilvl="0">
      <w:startOverride w:val="1"/>
    </w:lvlOverride>
  </w:num>
  <w:num w:numId="18">
    <w:abstractNumId w:val="0"/>
    <w:lvlOverride w:ilvl="0">
      <w:startOverride w:val="1"/>
    </w:lvlOverride>
  </w:num>
  <w:num w:numId="19">
    <w:abstractNumId w:val="37"/>
    <w:lvlOverride w:ilvl="0">
      <w:startOverride w:val="1"/>
    </w:lvlOverride>
  </w:num>
  <w:num w:numId="20">
    <w:abstractNumId w:val="18"/>
    <w:lvlOverride w:ilvl="0">
      <w:startOverride w:val="1"/>
    </w:lvlOverride>
  </w:num>
  <w:num w:numId="21">
    <w:abstractNumId w:val="30"/>
    <w:lvlOverride w:ilvl="0">
      <w:startOverride w:val="1"/>
    </w:lvlOverride>
  </w:num>
  <w:num w:numId="22">
    <w:abstractNumId w:val="31"/>
    <w:lvlOverride w:ilvl="0">
      <w:startOverride w:val="1"/>
    </w:lvlOverride>
  </w:num>
  <w:num w:numId="23">
    <w:abstractNumId w:val="32"/>
    <w:lvlOverride w:ilvl="0">
      <w:startOverride w:val="1"/>
    </w:lvlOverride>
  </w:num>
  <w:num w:numId="24">
    <w:abstractNumId w:val="29"/>
    <w:lvlOverride w:ilvl="0">
      <w:startOverride w:val="1"/>
    </w:lvlOverride>
  </w:num>
  <w:num w:numId="25">
    <w:abstractNumId w:val="26"/>
    <w:lvlOverride w:ilvl="0">
      <w:startOverride w:val="1"/>
    </w:lvlOverride>
  </w:num>
  <w:num w:numId="26">
    <w:abstractNumId w:val="4"/>
    <w:lvlOverride w:ilvl="0">
      <w:startOverride w:val="1"/>
    </w:lvlOverride>
  </w:num>
  <w:num w:numId="27">
    <w:abstractNumId w:val="19"/>
    <w:lvlOverride w:ilvl="0">
      <w:startOverride w:val="1"/>
    </w:lvlOverride>
  </w:num>
  <w:num w:numId="28">
    <w:abstractNumId w:val="35"/>
    <w:lvlOverride w:ilvl="0">
      <w:startOverride w:val="1"/>
    </w:lvlOverride>
  </w:num>
  <w:num w:numId="29">
    <w:abstractNumId w:val="15"/>
    <w:lvlOverride w:ilvl="0">
      <w:startOverride w:val="1"/>
    </w:lvlOverride>
  </w:num>
  <w:num w:numId="30">
    <w:abstractNumId w:val="11"/>
    <w:lvlOverride w:ilvl="0">
      <w:startOverride w:val="1"/>
    </w:lvlOverride>
  </w:num>
  <w:num w:numId="31">
    <w:abstractNumId w:val="6"/>
    <w:lvlOverride w:ilvl="0">
      <w:startOverride w:val="1"/>
    </w:lvlOverride>
  </w:num>
  <w:num w:numId="32">
    <w:abstractNumId w:val="8"/>
    <w:lvlOverride w:ilvl="0">
      <w:startOverride w:val="1"/>
    </w:lvlOverride>
  </w:num>
  <w:num w:numId="33">
    <w:abstractNumId w:val="5"/>
    <w:lvlOverride w:ilvl="0">
      <w:startOverride w:val="1"/>
    </w:lvlOverride>
  </w:num>
  <w:num w:numId="34">
    <w:abstractNumId w:val="27"/>
    <w:lvlOverride w:ilvl="0">
      <w:startOverride w:val="1"/>
    </w:lvlOverride>
  </w:num>
  <w:num w:numId="35">
    <w:abstractNumId w:val="20"/>
    <w:lvlOverride w:ilvl="0">
      <w:startOverride w:val="1"/>
    </w:lvlOverride>
  </w:num>
  <w:num w:numId="36">
    <w:abstractNumId w:val="21"/>
    <w:lvlOverride w:ilvl="0">
      <w:startOverride w:val="1"/>
    </w:lvlOverride>
  </w:num>
  <w:num w:numId="37">
    <w:abstractNumId w:val="22"/>
    <w:lvlOverride w:ilvl="0">
      <w:startOverride w:val="1"/>
    </w:lvlOverride>
  </w:num>
  <w:num w:numId="38">
    <w:abstractNumId w:val="9"/>
    <w:lvlOverride w:ilvl="0">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stylePaneFormatFilter w:val="3001"/>
  <w:defaultTabStop w:val="709"/>
  <w:hyphenationZone w:val="425"/>
  <w:noPunctuationKerning/>
  <w:characterSpacingControl w:val="doNotCompress"/>
  <w:doNotEmbedSmartTags/>
  <w:compat/>
  <w:rsids>
    <w:rsidRoot w:val="00D21F7E"/>
    <w:rsid w:val="00000270"/>
    <w:rsid w:val="000008E4"/>
    <w:rsid w:val="00001F03"/>
    <w:rsid w:val="00003623"/>
    <w:rsid w:val="00004ACB"/>
    <w:rsid w:val="00006D36"/>
    <w:rsid w:val="00006D55"/>
    <w:rsid w:val="00006D7B"/>
    <w:rsid w:val="0000773E"/>
    <w:rsid w:val="00010C81"/>
    <w:rsid w:val="00011789"/>
    <w:rsid w:val="0001219C"/>
    <w:rsid w:val="000126FB"/>
    <w:rsid w:val="00012B5C"/>
    <w:rsid w:val="00013A57"/>
    <w:rsid w:val="00013BD9"/>
    <w:rsid w:val="00014B9A"/>
    <w:rsid w:val="00014FB3"/>
    <w:rsid w:val="000155F3"/>
    <w:rsid w:val="00016B38"/>
    <w:rsid w:val="00016F36"/>
    <w:rsid w:val="00017F0D"/>
    <w:rsid w:val="00020417"/>
    <w:rsid w:val="000206CB"/>
    <w:rsid w:val="00020F06"/>
    <w:rsid w:val="000219A6"/>
    <w:rsid w:val="000240F9"/>
    <w:rsid w:val="00024965"/>
    <w:rsid w:val="00025583"/>
    <w:rsid w:val="0002567F"/>
    <w:rsid w:val="00025A81"/>
    <w:rsid w:val="00027C24"/>
    <w:rsid w:val="000321BC"/>
    <w:rsid w:val="000345C9"/>
    <w:rsid w:val="00034843"/>
    <w:rsid w:val="00035697"/>
    <w:rsid w:val="00037537"/>
    <w:rsid w:val="000379A0"/>
    <w:rsid w:val="0004073C"/>
    <w:rsid w:val="00041FCE"/>
    <w:rsid w:val="00042081"/>
    <w:rsid w:val="0004248B"/>
    <w:rsid w:val="00042DD5"/>
    <w:rsid w:val="000440FF"/>
    <w:rsid w:val="00044E70"/>
    <w:rsid w:val="000517CB"/>
    <w:rsid w:val="00053843"/>
    <w:rsid w:val="00054EB2"/>
    <w:rsid w:val="0005572D"/>
    <w:rsid w:val="0005582F"/>
    <w:rsid w:val="00056CEA"/>
    <w:rsid w:val="0006009E"/>
    <w:rsid w:val="00060242"/>
    <w:rsid w:val="00061842"/>
    <w:rsid w:val="00061929"/>
    <w:rsid w:val="000628B9"/>
    <w:rsid w:val="00063CA3"/>
    <w:rsid w:val="00063DF6"/>
    <w:rsid w:val="000641F5"/>
    <w:rsid w:val="0007042A"/>
    <w:rsid w:val="00070688"/>
    <w:rsid w:val="0007085F"/>
    <w:rsid w:val="00070EA8"/>
    <w:rsid w:val="00070FEF"/>
    <w:rsid w:val="000736B7"/>
    <w:rsid w:val="00074A70"/>
    <w:rsid w:val="00076937"/>
    <w:rsid w:val="00076F8E"/>
    <w:rsid w:val="00077D1E"/>
    <w:rsid w:val="000800A9"/>
    <w:rsid w:val="00080D93"/>
    <w:rsid w:val="00084078"/>
    <w:rsid w:val="00084FA6"/>
    <w:rsid w:val="00086BC6"/>
    <w:rsid w:val="000907F4"/>
    <w:rsid w:val="0009104F"/>
    <w:rsid w:val="000921A7"/>
    <w:rsid w:val="000925E8"/>
    <w:rsid w:val="00094A64"/>
    <w:rsid w:val="00094ADC"/>
    <w:rsid w:val="00097749"/>
    <w:rsid w:val="000A13D7"/>
    <w:rsid w:val="000A1E1D"/>
    <w:rsid w:val="000A3F91"/>
    <w:rsid w:val="000A5997"/>
    <w:rsid w:val="000A7280"/>
    <w:rsid w:val="000B1221"/>
    <w:rsid w:val="000B1404"/>
    <w:rsid w:val="000B1EB2"/>
    <w:rsid w:val="000B272D"/>
    <w:rsid w:val="000B2832"/>
    <w:rsid w:val="000B5064"/>
    <w:rsid w:val="000B557B"/>
    <w:rsid w:val="000B5BD4"/>
    <w:rsid w:val="000B7C59"/>
    <w:rsid w:val="000C05A1"/>
    <w:rsid w:val="000C1E0A"/>
    <w:rsid w:val="000C25AC"/>
    <w:rsid w:val="000C2F36"/>
    <w:rsid w:val="000C5100"/>
    <w:rsid w:val="000C5668"/>
    <w:rsid w:val="000C5961"/>
    <w:rsid w:val="000D227A"/>
    <w:rsid w:val="000D30D6"/>
    <w:rsid w:val="000D54F2"/>
    <w:rsid w:val="000D5852"/>
    <w:rsid w:val="000D7E5E"/>
    <w:rsid w:val="000E06CB"/>
    <w:rsid w:val="000E1FCA"/>
    <w:rsid w:val="000E2B59"/>
    <w:rsid w:val="000E3EA6"/>
    <w:rsid w:val="000E430C"/>
    <w:rsid w:val="000E433D"/>
    <w:rsid w:val="000E7329"/>
    <w:rsid w:val="000E77BE"/>
    <w:rsid w:val="000F3F32"/>
    <w:rsid w:val="000F417E"/>
    <w:rsid w:val="000F42F5"/>
    <w:rsid w:val="000F43F4"/>
    <w:rsid w:val="000F57E5"/>
    <w:rsid w:val="00100701"/>
    <w:rsid w:val="00100DD6"/>
    <w:rsid w:val="00101527"/>
    <w:rsid w:val="001021E4"/>
    <w:rsid w:val="00104DCE"/>
    <w:rsid w:val="00106D3C"/>
    <w:rsid w:val="00107DD5"/>
    <w:rsid w:val="00107EE4"/>
    <w:rsid w:val="00110A4C"/>
    <w:rsid w:val="00111611"/>
    <w:rsid w:val="001118D0"/>
    <w:rsid w:val="001119AE"/>
    <w:rsid w:val="00115BCA"/>
    <w:rsid w:val="0011653A"/>
    <w:rsid w:val="001177AA"/>
    <w:rsid w:val="00121899"/>
    <w:rsid w:val="00121BD1"/>
    <w:rsid w:val="0012362D"/>
    <w:rsid w:val="001242C2"/>
    <w:rsid w:val="00124BEE"/>
    <w:rsid w:val="00124E8B"/>
    <w:rsid w:val="00126628"/>
    <w:rsid w:val="00132B03"/>
    <w:rsid w:val="00132DD9"/>
    <w:rsid w:val="00134DDF"/>
    <w:rsid w:val="00135A57"/>
    <w:rsid w:val="001361A0"/>
    <w:rsid w:val="0013725A"/>
    <w:rsid w:val="001377B6"/>
    <w:rsid w:val="00140BAD"/>
    <w:rsid w:val="00140D56"/>
    <w:rsid w:val="001416E2"/>
    <w:rsid w:val="0014273D"/>
    <w:rsid w:val="00145114"/>
    <w:rsid w:val="0014586B"/>
    <w:rsid w:val="001466AC"/>
    <w:rsid w:val="001469A2"/>
    <w:rsid w:val="001474BE"/>
    <w:rsid w:val="00147F3C"/>
    <w:rsid w:val="00150924"/>
    <w:rsid w:val="00152B90"/>
    <w:rsid w:val="00154156"/>
    <w:rsid w:val="001543BC"/>
    <w:rsid w:val="00154FA7"/>
    <w:rsid w:val="001558A6"/>
    <w:rsid w:val="00156309"/>
    <w:rsid w:val="00157656"/>
    <w:rsid w:val="0016018E"/>
    <w:rsid w:val="001609A7"/>
    <w:rsid w:val="00160B01"/>
    <w:rsid w:val="001629F6"/>
    <w:rsid w:val="00164343"/>
    <w:rsid w:val="001649A9"/>
    <w:rsid w:val="001649AB"/>
    <w:rsid w:val="00164F6D"/>
    <w:rsid w:val="001653E5"/>
    <w:rsid w:val="00165C10"/>
    <w:rsid w:val="001663A6"/>
    <w:rsid w:val="001676D3"/>
    <w:rsid w:val="001705FD"/>
    <w:rsid w:val="00170CAD"/>
    <w:rsid w:val="00171997"/>
    <w:rsid w:val="00171F6B"/>
    <w:rsid w:val="001726CD"/>
    <w:rsid w:val="001738C4"/>
    <w:rsid w:val="00173A95"/>
    <w:rsid w:val="00175F31"/>
    <w:rsid w:val="00176CEE"/>
    <w:rsid w:val="00176F01"/>
    <w:rsid w:val="001778B5"/>
    <w:rsid w:val="00177F37"/>
    <w:rsid w:val="00182866"/>
    <w:rsid w:val="001828BC"/>
    <w:rsid w:val="00182F4F"/>
    <w:rsid w:val="001835CC"/>
    <w:rsid w:val="00184034"/>
    <w:rsid w:val="00185BD2"/>
    <w:rsid w:val="00185E64"/>
    <w:rsid w:val="0019036F"/>
    <w:rsid w:val="00191622"/>
    <w:rsid w:val="00194EB2"/>
    <w:rsid w:val="00195918"/>
    <w:rsid w:val="001A1204"/>
    <w:rsid w:val="001A1884"/>
    <w:rsid w:val="001A3C0E"/>
    <w:rsid w:val="001A3DE5"/>
    <w:rsid w:val="001A6348"/>
    <w:rsid w:val="001A6976"/>
    <w:rsid w:val="001A73E7"/>
    <w:rsid w:val="001A79C1"/>
    <w:rsid w:val="001B10DC"/>
    <w:rsid w:val="001B16B2"/>
    <w:rsid w:val="001B32A6"/>
    <w:rsid w:val="001B33A4"/>
    <w:rsid w:val="001B418C"/>
    <w:rsid w:val="001B4A2B"/>
    <w:rsid w:val="001B4F7B"/>
    <w:rsid w:val="001B5C41"/>
    <w:rsid w:val="001B6591"/>
    <w:rsid w:val="001C0536"/>
    <w:rsid w:val="001C0561"/>
    <w:rsid w:val="001C0569"/>
    <w:rsid w:val="001C0E4E"/>
    <w:rsid w:val="001C1331"/>
    <w:rsid w:val="001C25BB"/>
    <w:rsid w:val="001C30E1"/>
    <w:rsid w:val="001C3970"/>
    <w:rsid w:val="001C49E1"/>
    <w:rsid w:val="001C4A08"/>
    <w:rsid w:val="001C5084"/>
    <w:rsid w:val="001C559E"/>
    <w:rsid w:val="001C5AFF"/>
    <w:rsid w:val="001C77E2"/>
    <w:rsid w:val="001D0019"/>
    <w:rsid w:val="001D0D2A"/>
    <w:rsid w:val="001D13AB"/>
    <w:rsid w:val="001D1EAE"/>
    <w:rsid w:val="001D1EC2"/>
    <w:rsid w:val="001D20FB"/>
    <w:rsid w:val="001D2FC7"/>
    <w:rsid w:val="001D38A1"/>
    <w:rsid w:val="001D3F0B"/>
    <w:rsid w:val="001D4160"/>
    <w:rsid w:val="001D5F9A"/>
    <w:rsid w:val="001D7133"/>
    <w:rsid w:val="001D78FD"/>
    <w:rsid w:val="001D7FCC"/>
    <w:rsid w:val="001E126F"/>
    <w:rsid w:val="001E12BB"/>
    <w:rsid w:val="001E3156"/>
    <w:rsid w:val="001E35D1"/>
    <w:rsid w:val="001E3634"/>
    <w:rsid w:val="001E430B"/>
    <w:rsid w:val="001E4417"/>
    <w:rsid w:val="001E6869"/>
    <w:rsid w:val="001E76FC"/>
    <w:rsid w:val="001F125E"/>
    <w:rsid w:val="001F4765"/>
    <w:rsid w:val="001F50AD"/>
    <w:rsid w:val="001F6E22"/>
    <w:rsid w:val="001F6E85"/>
    <w:rsid w:val="0020012A"/>
    <w:rsid w:val="00200938"/>
    <w:rsid w:val="00200DA0"/>
    <w:rsid w:val="00200E75"/>
    <w:rsid w:val="00201C9D"/>
    <w:rsid w:val="00202198"/>
    <w:rsid w:val="00203BDE"/>
    <w:rsid w:val="00203CC1"/>
    <w:rsid w:val="002047FA"/>
    <w:rsid w:val="00204CCF"/>
    <w:rsid w:val="002050A0"/>
    <w:rsid w:val="002064EC"/>
    <w:rsid w:val="00206633"/>
    <w:rsid w:val="00206F8D"/>
    <w:rsid w:val="0020777F"/>
    <w:rsid w:val="00210089"/>
    <w:rsid w:val="0021017B"/>
    <w:rsid w:val="0021178A"/>
    <w:rsid w:val="00211D5F"/>
    <w:rsid w:val="00213E68"/>
    <w:rsid w:val="00213F5F"/>
    <w:rsid w:val="002161C2"/>
    <w:rsid w:val="002161F4"/>
    <w:rsid w:val="0021677F"/>
    <w:rsid w:val="00221FD8"/>
    <w:rsid w:val="00222310"/>
    <w:rsid w:val="00222CDE"/>
    <w:rsid w:val="002235E9"/>
    <w:rsid w:val="0022440D"/>
    <w:rsid w:val="00225AD9"/>
    <w:rsid w:val="002279FD"/>
    <w:rsid w:val="00231CDC"/>
    <w:rsid w:val="002324B2"/>
    <w:rsid w:val="00232A13"/>
    <w:rsid w:val="00233824"/>
    <w:rsid w:val="00234A19"/>
    <w:rsid w:val="00235A8E"/>
    <w:rsid w:val="00235EDE"/>
    <w:rsid w:val="00237725"/>
    <w:rsid w:val="00237890"/>
    <w:rsid w:val="00240100"/>
    <w:rsid w:val="002402FB"/>
    <w:rsid w:val="00242215"/>
    <w:rsid w:val="00242F83"/>
    <w:rsid w:val="00243EFC"/>
    <w:rsid w:val="0024429D"/>
    <w:rsid w:val="00244D03"/>
    <w:rsid w:val="00245859"/>
    <w:rsid w:val="002459BE"/>
    <w:rsid w:val="00246766"/>
    <w:rsid w:val="00246DA7"/>
    <w:rsid w:val="00247798"/>
    <w:rsid w:val="00247E94"/>
    <w:rsid w:val="00250CCA"/>
    <w:rsid w:val="00253059"/>
    <w:rsid w:val="00253372"/>
    <w:rsid w:val="002544E4"/>
    <w:rsid w:val="002562F1"/>
    <w:rsid w:val="002564C6"/>
    <w:rsid w:val="002610C8"/>
    <w:rsid w:val="002622CF"/>
    <w:rsid w:val="00262F15"/>
    <w:rsid w:val="00262FF9"/>
    <w:rsid w:val="00263737"/>
    <w:rsid w:val="00263FB3"/>
    <w:rsid w:val="00267364"/>
    <w:rsid w:val="00267AF0"/>
    <w:rsid w:val="002725BA"/>
    <w:rsid w:val="00272AE6"/>
    <w:rsid w:val="002737A2"/>
    <w:rsid w:val="002739BD"/>
    <w:rsid w:val="00275F19"/>
    <w:rsid w:val="00276D5A"/>
    <w:rsid w:val="0028108D"/>
    <w:rsid w:val="00282315"/>
    <w:rsid w:val="002827A4"/>
    <w:rsid w:val="002843D5"/>
    <w:rsid w:val="00284650"/>
    <w:rsid w:val="00285C16"/>
    <w:rsid w:val="00290F64"/>
    <w:rsid w:val="0029127A"/>
    <w:rsid w:val="0029166D"/>
    <w:rsid w:val="0029202F"/>
    <w:rsid w:val="00294872"/>
    <w:rsid w:val="00294C5C"/>
    <w:rsid w:val="00294FE7"/>
    <w:rsid w:val="002950DB"/>
    <w:rsid w:val="0029613B"/>
    <w:rsid w:val="002962D5"/>
    <w:rsid w:val="002A0969"/>
    <w:rsid w:val="002A10D8"/>
    <w:rsid w:val="002A14BA"/>
    <w:rsid w:val="002A183A"/>
    <w:rsid w:val="002A2560"/>
    <w:rsid w:val="002A2E77"/>
    <w:rsid w:val="002A2F73"/>
    <w:rsid w:val="002A5A7D"/>
    <w:rsid w:val="002A77FE"/>
    <w:rsid w:val="002B09E8"/>
    <w:rsid w:val="002B0CC1"/>
    <w:rsid w:val="002B16AA"/>
    <w:rsid w:val="002B1A87"/>
    <w:rsid w:val="002B3494"/>
    <w:rsid w:val="002B5471"/>
    <w:rsid w:val="002B57A9"/>
    <w:rsid w:val="002B6C16"/>
    <w:rsid w:val="002B6F08"/>
    <w:rsid w:val="002B7015"/>
    <w:rsid w:val="002B7BAE"/>
    <w:rsid w:val="002C18B7"/>
    <w:rsid w:val="002C1FFD"/>
    <w:rsid w:val="002C463C"/>
    <w:rsid w:val="002C4E0A"/>
    <w:rsid w:val="002C61C1"/>
    <w:rsid w:val="002C62ED"/>
    <w:rsid w:val="002C6C7B"/>
    <w:rsid w:val="002D0190"/>
    <w:rsid w:val="002D029F"/>
    <w:rsid w:val="002D131D"/>
    <w:rsid w:val="002D16BD"/>
    <w:rsid w:val="002D470E"/>
    <w:rsid w:val="002D785B"/>
    <w:rsid w:val="002E17C3"/>
    <w:rsid w:val="002E29C7"/>
    <w:rsid w:val="002E4C05"/>
    <w:rsid w:val="002E4F48"/>
    <w:rsid w:val="002E6D56"/>
    <w:rsid w:val="002E6D64"/>
    <w:rsid w:val="002E7310"/>
    <w:rsid w:val="002E7BEA"/>
    <w:rsid w:val="002F1CAE"/>
    <w:rsid w:val="002F290B"/>
    <w:rsid w:val="002F5159"/>
    <w:rsid w:val="002F5433"/>
    <w:rsid w:val="002F6ABF"/>
    <w:rsid w:val="002F6CCB"/>
    <w:rsid w:val="002F6F1B"/>
    <w:rsid w:val="002F79FE"/>
    <w:rsid w:val="00300231"/>
    <w:rsid w:val="0030069E"/>
    <w:rsid w:val="00301651"/>
    <w:rsid w:val="003019D3"/>
    <w:rsid w:val="003026D9"/>
    <w:rsid w:val="00302B90"/>
    <w:rsid w:val="003032FC"/>
    <w:rsid w:val="00303942"/>
    <w:rsid w:val="00305D6A"/>
    <w:rsid w:val="003073B2"/>
    <w:rsid w:val="00312E87"/>
    <w:rsid w:val="00312FD6"/>
    <w:rsid w:val="003145CD"/>
    <w:rsid w:val="003155D5"/>
    <w:rsid w:val="00316267"/>
    <w:rsid w:val="003204C9"/>
    <w:rsid w:val="00321ABC"/>
    <w:rsid w:val="003222FC"/>
    <w:rsid w:val="00322DB1"/>
    <w:rsid w:val="003230B4"/>
    <w:rsid w:val="00323799"/>
    <w:rsid w:val="00323E48"/>
    <w:rsid w:val="00331494"/>
    <w:rsid w:val="00331BBD"/>
    <w:rsid w:val="003323D0"/>
    <w:rsid w:val="003333E3"/>
    <w:rsid w:val="0033422D"/>
    <w:rsid w:val="00334937"/>
    <w:rsid w:val="00335547"/>
    <w:rsid w:val="0033762A"/>
    <w:rsid w:val="0034046E"/>
    <w:rsid w:val="00340818"/>
    <w:rsid w:val="00342557"/>
    <w:rsid w:val="0034592D"/>
    <w:rsid w:val="0034780E"/>
    <w:rsid w:val="00350386"/>
    <w:rsid w:val="003509BC"/>
    <w:rsid w:val="00351F00"/>
    <w:rsid w:val="003528B0"/>
    <w:rsid w:val="0035314C"/>
    <w:rsid w:val="00353712"/>
    <w:rsid w:val="003541EC"/>
    <w:rsid w:val="00354218"/>
    <w:rsid w:val="003555F8"/>
    <w:rsid w:val="003578EF"/>
    <w:rsid w:val="00360DFD"/>
    <w:rsid w:val="003620B6"/>
    <w:rsid w:val="0036281C"/>
    <w:rsid w:val="00362AC6"/>
    <w:rsid w:val="00362F0A"/>
    <w:rsid w:val="00363B1A"/>
    <w:rsid w:val="00363FE6"/>
    <w:rsid w:val="00365C48"/>
    <w:rsid w:val="00367318"/>
    <w:rsid w:val="00367A5F"/>
    <w:rsid w:val="00370B6F"/>
    <w:rsid w:val="003757BF"/>
    <w:rsid w:val="00375CED"/>
    <w:rsid w:val="00376D29"/>
    <w:rsid w:val="00376D70"/>
    <w:rsid w:val="00376F58"/>
    <w:rsid w:val="00377DA1"/>
    <w:rsid w:val="00380401"/>
    <w:rsid w:val="0038068C"/>
    <w:rsid w:val="00380C3D"/>
    <w:rsid w:val="00381874"/>
    <w:rsid w:val="003823F5"/>
    <w:rsid w:val="003825CF"/>
    <w:rsid w:val="00382B9B"/>
    <w:rsid w:val="00383FDA"/>
    <w:rsid w:val="00384AAA"/>
    <w:rsid w:val="00385D6A"/>
    <w:rsid w:val="00386B6D"/>
    <w:rsid w:val="003873C2"/>
    <w:rsid w:val="0038764D"/>
    <w:rsid w:val="003900CE"/>
    <w:rsid w:val="00390254"/>
    <w:rsid w:val="003906F5"/>
    <w:rsid w:val="003908C3"/>
    <w:rsid w:val="00390ECC"/>
    <w:rsid w:val="003914DD"/>
    <w:rsid w:val="00391D9F"/>
    <w:rsid w:val="00392826"/>
    <w:rsid w:val="0039340C"/>
    <w:rsid w:val="0039358F"/>
    <w:rsid w:val="0039417A"/>
    <w:rsid w:val="00394AA0"/>
    <w:rsid w:val="00395178"/>
    <w:rsid w:val="00397BCE"/>
    <w:rsid w:val="003A1E3D"/>
    <w:rsid w:val="003A4072"/>
    <w:rsid w:val="003A4F79"/>
    <w:rsid w:val="003A5FE2"/>
    <w:rsid w:val="003A65FF"/>
    <w:rsid w:val="003B2F01"/>
    <w:rsid w:val="003B329B"/>
    <w:rsid w:val="003B54D8"/>
    <w:rsid w:val="003B5A16"/>
    <w:rsid w:val="003B5B69"/>
    <w:rsid w:val="003B5E50"/>
    <w:rsid w:val="003B5EC5"/>
    <w:rsid w:val="003B6205"/>
    <w:rsid w:val="003C2F5B"/>
    <w:rsid w:val="003C4354"/>
    <w:rsid w:val="003C4A4A"/>
    <w:rsid w:val="003C61CB"/>
    <w:rsid w:val="003C64CF"/>
    <w:rsid w:val="003C6F1D"/>
    <w:rsid w:val="003D17FC"/>
    <w:rsid w:val="003D1AB5"/>
    <w:rsid w:val="003D2220"/>
    <w:rsid w:val="003D2544"/>
    <w:rsid w:val="003D2BA7"/>
    <w:rsid w:val="003D4585"/>
    <w:rsid w:val="003D4F5E"/>
    <w:rsid w:val="003D7A01"/>
    <w:rsid w:val="003E01BD"/>
    <w:rsid w:val="003E1435"/>
    <w:rsid w:val="003E2195"/>
    <w:rsid w:val="003E256D"/>
    <w:rsid w:val="003E3CF6"/>
    <w:rsid w:val="003E4E25"/>
    <w:rsid w:val="003E5831"/>
    <w:rsid w:val="003E6C8D"/>
    <w:rsid w:val="003F0870"/>
    <w:rsid w:val="003F1BF2"/>
    <w:rsid w:val="003F3238"/>
    <w:rsid w:val="003F33B0"/>
    <w:rsid w:val="003F4160"/>
    <w:rsid w:val="003F4367"/>
    <w:rsid w:val="003F493B"/>
    <w:rsid w:val="003F6C58"/>
    <w:rsid w:val="003F79A6"/>
    <w:rsid w:val="004007FA"/>
    <w:rsid w:val="00402E4D"/>
    <w:rsid w:val="004041B6"/>
    <w:rsid w:val="00405BF1"/>
    <w:rsid w:val="0040671C"/>
    <w:rsid w:val="0041065A"/>
    <w:rsid w:val="004108A4"/>
    <w:rsid w:val="00410B46"/>
    <w:rsid w:val="00413A7C"/>
    <w:rsid w:val="00414480"/>
    <w:rsid w:val="0041534F"/>
    <w:rsid w:val="004155C9"/>
    <w:rsid w:val="00416F8B"/>
    <w:rsid w:val="00417225"/>
    <w:rsid w:val="004204AD"/>
    <w:rsid w:val="00420CF9"/>
    <w:rsid w:val="00424CBB"/>
    <w:rsid w:val="00425877"/>
    <w:rsid w:val="00425A2B"/>
    <w:rsid w:val="00426516"/>
    <w:rsid w:val="00426B35"/>
    <w:rsid w:val="00426D2E"/>
    <w:rsid w:val="0043106C"/>
    <w:rsid w:val="00432396"/>
    <w:rsid w:val="0043251B"/>
    <w:rsid w:val="0043275B"/>
    <w:rsid w:val="0043384B"/>
    <w:rsid w:val="00433BE9"/>
    <w:rsid w:val="004349D8"/>
    <w:rsid w:val="00437469"/>
    <w:rsid w:val="00437476"/>
    <w:rsid w:val="00437A60"/>
    <w:rsid w:val="00440118"/>
    <w:rsid w:val="004438D9"/>
    <w:rsid w:val="004457C7"/>
    <w:rsid w:val="004463C9"/>
    <w:rsid w:val="00451E51"/>
    <w:rsid w:val="00451F49"/>
    <w:rsid w:val="00452494"/>
    <w:rsid w:val="004527F2"/>
    <w:rsid w:val="00453F7F"/>
    <w:rsid w:val="00454641"/>
    <w:rsid w:val="00454D59"/>
    <w:rsid w:val="00455F68"/>
    <w:rsid w:val="00456205"/>
    <w:rsid w:val="00456B16"/>
    <w:rsid w:val="00457C82"/>
    <w:rsid w:val="00460B14"/>
    <w:rsid w:val="00460DB5"/>
    <w:rsid w:val="00461172"/>
    <w:rsid w:val="00461174"/>
    <w:rsid w:val="00462337"/>
    <w:rsid w:val="004627A7"/>
    <w:rsid w:val="00462D65"/>
    <w:rsid w:val="00467114"/>
    <w:rsid w:val="00471E0F"/>
    <w:rsid w:val="004722E2"/>
    <w:rsid w:val="004745A5"/>
    <w:rsid w:val="004748AD"/>
    <w:rsid w:val="0047529C"/>
    <w:rsid w:val="0047551C"/>
    <w:rsid w:val="00475C82"/>
    <w:rsid w:val="00476345"/>
    <w:rsid w:val="004767B5"/>
    <w:rsid w:val="004768EE"/>
    <w:rsid w:val="00476FD4"/>
    <w:rsid w:val="00480FD6"/>
    <w:rsid w:val="00482A65"/>
    <w:rsid w:val="00483373"/>
    <w:rsid w:val="004837BC"/>
    <w:rsid w:val="00487204"/>
    <w:rsid w:val="00487CEC"/>
    <w:rsid w:val="004913B2"/>
    <w:rsid w:val="00491C09"/>
    <w:rsid w:val="00493079"/>
    <w:rsid w:val="004945DE"/>
    <w:rsid w:val="00494A20"/>
    <w:rsid w:val="00495760"/>
    <w:rsid w:val="004972F2"/>
    <w:rsid w:val="004A02A7"/>
    <w:rsid w:val="004A06E2"/>
    <w:rsid w:val="004A0B74"/>
    <w:rsid w:val="004A0FDD"/>
    <w:rsid w:val="004A113B"/>
    <w:rsid w:val="004A2EAA"/>
    <w:rsid w:val="004A5F17"/>
    <w:rsid w:val="004A6B1A"/>
    <w:rsid w:val="004A6CF1"/>
    <w:rsid w:val="004A72D0"/>
    <w:rsid w:val="004B0CDA"/>
    <w:rsid w:val="004B0E08"/>
    <w:rsid w:val="004B3124"/>
    <w:rsid w:val="004B39EC"/>
    <w:rsid w:val="004B52EB"/>
    <w:rsid w:val="004B585D"/>
    <w:rsid w:val="004B781D"/>
    <w:rsid w:val="004B7EB2"/>
    <w:rsid w:val="004C2F41"/>
    <w:rsid w:val="004C363B"/>
    <w:rsid w:val="004C39C0"/>
    <w:rsid w:val="004C4800"/>
    <w:rsid w:val="004C5128"/>
    <w:rsid w:val="004D1185"/>
    <w:rsid w:val="004D369C"/>
    <w:rsid w:val="004D3D17"/>
    <w:rsid w:val="004D47AD"/>
    <w:rsid w:val="004D55C8"/>
    <w:rsid w:val="004E049C"/>
    <w:rsid w:val="004E0CFA"/>
    <w:rsid w:val="004E11C8"/>
    <w:rsid w:val="004E1B97"/>
    <w:rsid w:val="004E1D8F"/>
    <w:rsid w:val="004E2020"/>
    <w:rsid w:val="004E25F2"/>
    <w:rsid w:val="004E3614"/>
    <w:rsid w:val="004E5219"/>
    <w:rsid w:val="004F368C"/>
    <w:rsid w:val="004F3F49"/>
    <w:rsid w:val="004F43F0"/>
    <w:rsid w:val="004F4D35"/>
    <w:rsid w:val="00500CED"/>
    <w:rsid w:val="00501571"/>
    <w:rsid w:val="00501ADC"/>
    <w:rsid w:val="0050534C"/>
    <w:rsid w:val="00505782"/>
    <w:rsid w:val="005067D4"/>
    <w:rsid w:val="005073B5"/>
    <w:rsid w:val="00513729"/>
    <w:rsid w:val="00514A96"/>
    <w:rsid w:val="00514B37"/>
    <w:rsid w:val="00516FCE"/>
    <w:rsid w:val="00517D24"/>
    <w:rsid w:val="00520B8A"/>
    <w:rsid w:val="00520C30"/>
    <w:rsid w:val="00520C8C"/>
    <w:rsid w:val="0052251D"/>
    <w:rsid w:val="0052263F"/>
    <w:rsid w:val="0052306F"/>
    <w:rsid w:val="005239F8"/>
    <w:rsid w:val="005243B8"/>
    <w:rsid w:val="005269C0"/>
    <w:rsid w:val="00527CCD"/>
    <w:rsid w:val="00530429"/>
    <w:rsid w:val="00530525"/>
    <w:rsid w:val="00533261"/>
    <w:rsid w:val="00533DBD"/>
    <w:rsid w:val="0053574D"/>
    <w:rsid w:val="00536542"/>
    <w:rsid w:val="00536920"/>
    <w:rsid w:val="00536DF2"/>
    <w:rsid w:val="00537495"/>
    <w:rsid w:val="005374E3"/>
    <w:rsid w:val="0054004E"/>
    <w:rsid w:val="00540065"/>
    <w:rsid w:val="005415D5"/>
    <w:rsid w:val="00542C08"/>
    <w:rsid w:val="005449FE"/>
    <w:rsid w:val="00545205"/>
    <w:rsid w:val="0054623E"/>
    <w:rsid w:val="00546AF0"/>
    <w:rsid w:val="00546D36"/>
    <w:rsid w:val="00547168"/>
    <w:rsid w:val="00547ECE"/>
    <w:rsid w:val="00550A28"/>
    <w:rsid w:val="005516C3"/>
    <w:rsid w:val="00551F1D"/>
    <w:rsid w:val="005524ED"/>
    <w:rsid w:val="00552981"/>
    <w:rsid w:val="005552CC"/>
    <w:rsid w:val="005563AB"/>
    <w:rsid w:val="00563CDE"/>
    <w:rsid w:val="00563F51"/>
    <w:rsid w:val="005640E9"/>
    <w:rsid w:val="00564E50"/>
    <w:rsid w:val="005650F4"/>
    <w:rsid w:val="00565653"/>
    <w:rsid w:val="0056591D"/>
    <w:rsid w:val="00565DC4"/>
    <w:rsid w:val="0056771D"/>
    <w:rsid w:val="00567E8A"/>
    <w:rsid w:val="005704C8"/>
    <w:rsid w:val="00571255"/>
    <w:rsid w:val="00574CE8"/>
    <w:rsid w:val="00574F4A"/>
    <w:rsid w:val="005767C5"/>
    <w:rsid w:val="005776A0"/>
    <w:rsid w:val="00581047"/>
    <w:rsid w:val="0058120B"/>
    <w:rsid w:val="00581FF3"/>
    <w:rsid w:val="00582340"/>
    <w:rsid w:val="00584399"/>
    <w:rsid w:val="005857B8"/>
    <w:rsid w:val="00587230"/>
    <w:rsid w:val="0059151D"/>
    <w:rsid w:val="005915F7"/>
    <w:rsid w:val="00591945"/>
    <w:rsid w:val="00591CA5"/>
    <w:rsid w:val="005929D8"/>
    <w:rsid w:val="0059513B"/>
    <w:rsid w:val="005957B4"/>
    <w:rsid w:val="00596B4D"/>
    <w:rsid w:val="005970F8"/>
    <w:rsid w:val="005974D4"/>
    <w:rsid w:val="00597718"/>
    <w:rsid w:val="005A0110"/>
    <w:rsid w:val="005A22DE"/>
    <w:rsid w:val="005A2EAE"/>
    <w:rsid w:val="005A2EE5"/>
    <w:rsid w:val="005A3142"/>
    <w:rsid w:val="005A3499"/>
    <w:rsid w:val="005A4B87"/>
    <w:rsid w:val="005A74D1"/>
    <w:rsid w:val="005A7DD4"/>
    <w:rsid w:val="005B0852"/>
    <w:rsid w:val="005B0F67"/>
    <w:rsid w:val="005B20B6"/>
    <w:rsid w:val="005B240D"/>
    <w:rsid w:val="005B249A"/>
    <w:rsid w:val="005B3AA4"/>
    <w:rsid w:val="005B73FE"/>
    <w:rsid w:val="005C0BD8"/>
    <w:rsid w:val="005C1235"/>
    <w:rsid w:val="005C1F8A"/>
    <w:rsid w:val="005C211D"/>
    <w:rsid w:val="005C29C5"/>
    <w:rsid w:val="005C4F60"/>
    <w:rsid w:val="005C4FA8"/>
    <w:rsid w:val="005C5446"/>
    <w:rsid w:val="005C65C1"/>
    <w:rsid w:val="005C71CC"/>
    <w:rsid w:val="005C7296"/>
    <w:rsid w:val="005C735B"/>
    <w:rsid w:val="005C7832"/>
    <w:rsid w:val="005C7DD7"/>
    <w:rsid w:val="005D1200"/>
    <w:rsid w:val="005D1F33"/>
    <w:rsid w:val="005D2FE6"/>
    <w:rsid w:val="005D39CB"/>
    <w:rsid w:val="005D4F03"/>
    <w:rsid w:val="005D6006"/>
    <w:rsid w:val="005D6C75"/>
    <w:rsid w:val="005E0F4A"/>
    <w:rsid w:val="005E21B3"/>
    <w:rsid w:val="005E2A47"/>
    <w:rsid w:val="005E31B7"/>
    <w:rsid w:val="005E427D"/>
    <w:rsid w:val="005E63FB"/>
    <w:rsid w:val="005F03CB"/>
    <w:rsid w:val="005F0C1B"/>
    <w:rsid w:val="005F0E4C"/>
    <w:rsid w:val="005F2A65"/>
    <w:rsid w:val="005F56D4"/>
    <w:rsid w:val="005F5C03"/>
    <w:rsid w:val="005F6D5D"/>
    <w:rsid w:val="005F6FAF"/>
    <w:rsid w:val="005F790A"/>
    <w:rsid w:val="00600D47"/>
    <w:rsid w:val="00601312"/>
    <w:rsid w:val="00603789"/>
    <w:rsid w:val="00604143"/>
    <w:rsid w:val="00604E4C"/>
    <w:rsid w:val="00610F3C"/>
    <w:rsid w:val="0061146F"/>
    <w:rsid w:val="00612C5A"/>
    <w:rsid w:val="0061392D"/>
    <w:rsid w:val="00613F9A"/>
    <w:rsid w:val="00614F22"/>
    <w:rsid w:val="00616829"/>
    <w:rsid w:val="00617B99"/>
    <w:rsid w:val="00620243"/>
    <w:rsid w:val="006221C9"/>
    <w:rsid w:val="006227BD"/>
    <w:rsid w:val="006229DE"/>
    <w:rsid w:val="00622D7D"/>
    <w:rsid w:val="00622FF4"/>
    <w:rsid w:val="006234B9"/>
    <w:rsid w:val="006248A9"/>
    <w:rsid w:val="006256D2"/>
    <w:rsid w:val="006258F9"/>
    <w:rsid w:val="00626A3C"/>
    <w:rsid w:val="00627D91"/>
    <w:rsid w:val="006306EC"/>
    <w:rsid w:val="00630F18"/>
    <w:rsid w:val="00632C37"/>
    <w:rsid w:val="0063355F"/>
    <w:rsid w:val="00633A97"/>
    <w:rsid w:val="006368F7"/>
    <w:rsid w:val="00637F1F"/>
    <w:rsid w:val="00640A6C"/>
    <w:rsid w:val="0064383D"/>
    <w:rsid w:val="00644BB3"/>
    <w:rsid w:val="006456F8"/>
    <w:rsid w:val="00645FBE"/>
    <w:rsid w:val="00646B93"/>
    <w:rsid w:val="00646BF6"/>
    <w:rsid w:val="00647E10"/>
    <w:rsid w:val="006511E4"/>
    <w:rsid w:val="0065256C"/>
    <w:rsid w:val="00652E81"/>
    <w:rsid w:val="006539EB"/>
    <w:rsid w:val="006545C5"/>
    <w:rsid w:val="00655C74"/>
    <w:rsid w:val="00656272"/>
    <w:rsid w:val="0065688E"/>
    <w:rsid w:val="0066044C"/>
    <w:rsid w:val="00660549"/>
    <w:rsid w:val="006606FC"/>
    <w:rsid w:val="006612AA"/>
    <w:rsid w:val="006612FE"/>
    <w:rsid w:val="00662042"/>
    <w:rsid w:val="00662F08"/>
    <w:rsid w:val="00664319"/>
    <w:rsid w:val="00664CE1"/>
    <w:rsid w:val="00665F00"/>
    <w:rsid w:val="00670E30"/>
    <w:rsid w:val="00670E95"/>
    <w:rsid w:val="00671608"/>
    <w:rsid w:val="006732CF"/>
    <w:rsid w:val="00675561"/>
    <w:rsid w:val="00676B68"/>
    <w:rsid w:val="00677192"/>
    <w:rsid w:val="0068113D"/>
    <w:rsid w:val="00682F59"/>
    <w:rsid w:val="00685966"/>
    <w:rsid w:val="00687278"/>
    <w:rsid w:val="0068785C"/>
    <w:rsid w:val="00687D4E"/>
    <w:rsid w:val="00687FF8"/>
    <w:rsid w:val="00691FF2"/>
    <w:rsid w:val="00692347"/>
    <w:rsid w:val="00692C46"/>
    <w:rsid w:val="006930F6"/>
    <w:rsid w:val="0069324D"/>
    <w:rsid w:val="00693915"/>
    <w:rsid w:val="00693A77"/>
    <w:rsid w:val="006964E5"/>
    <w:rsid w:val="0069654A"/>
    <w:rsid w:val="00696A0F"/>
    <w:rsid w:val="006A0E46"/>
    <w:rsid w:val="006A1255"/>
    <w:rsid w:val="006A20FB"/>
    <w:rsid w:val="006A3114"/>
    <w:rsid w:val="006A3525"/>
    <w:rsid w:val="006A45F0"/>
    <w:rsid w:val="006A65AD"/>
    <w:rsid w:val="006A6732"/>
    <w:rsid w:val="006A6DF5"/>
    <w:rsid w:val="006A77CF"/>
    <w:rsid w:val="006B061C"/>
    <w:rsid w:val="006B0635"/>
    <w:rsid w:val="006B0A22"/>
    <w:rsid w:val="006B0C1F"/>
    <w:rsid w:val="006B2DDC"/>
    <w:rsid w:val="006B365A"/>
    <w:rsid w:val="006B3B38"/>
    <w:rsid w:val="006B4293"/>
    <w:rsid w:val="006B6E5F"/>
    <w:rsid w:val="006C14A4"/>
    <w:rsid w:val="006C2B34"/>
    <w:rsid w:val="006C2BC9"/>
    <w:rsid w:val="006C3E01"/>
    <w:rsid w:val="006C4AFC"/>
    <w:rsid w:val="006C530C"/>
    <w:rsid w:val="006C6841"/>
    <w:rsid w:val="006C7BEC"/>
    <w:rsid w:val="006D00ED"/>
    <w:rsid w:val="006D036C"/>
    <w:rsid w:val="006D1482"/>
    <w:rsid w:val="006D27A3"/>
    <w:rsid w:val="006D2B82"/>
    <w:rsid w:val="006D49DA"/>
    <w:rsid w:val="006D4EA9"/>
    <w:rsid w:val="006D5991"/>
    <w:rsid w:val="006D797F"/>
    <w:rsid w:val="006E1194"/>
    <w:rsid w:val="006E153F"/>
    <w:rsid w:val="006E5297"/>
    <w:rsid w:val="006E5816"/>
    <w:rsid w:val="006E63FE"/>
    <w:rsid w:val="006E6689"/>
    <w:rsid w:val="006E7B9E"/>
    <w:rsid w:val="006E7C16"/>
    <w:rsid w:val="006F0901"/>
    <w:rsid w:val="006F0B10"/>
    <w:rsid w:val="006F3758"/>
    <w:rsid w:val="006F4C9B"/>
    <w:rsid w:val="006F4CF5"/>
    <w:rsid w:val="006F52DE"/>
    <w:rsid w:val="006F56B8"/>
    <w:rsid w:val="006F5CBB"/>
    <w:rsid w:val="006F6099"/>
    <w:rsid w:val="006F66E2"/>
    <w:rsid w:val="006F7323"/>
    <w:rsid w:val="006F7CFD"/>
    <w:rsid w:val="006F7D7E"/>
    <w:rsid w:val="0070124C"/>
    <w:rsid w:val="00702C5F"/>
    <w:rsid w:val="00703714"/>
    <w:rsid w:val="00703C95"/>
    <w:rsid w:val="00704BDA"/>
    <w:rsid w:val="007057E7"/>
    <w:rsid w:val="00706E22"/>
    <w:rsid w:val="007072A5"/>
    <w:rsid w:val="00710EFC"/>
    <w:rsid w:val="00711921"/>
    <w:rsid w:val="0071393C"/>
    <w:rsid w:val="0071553D"/>
    <w:rsid w:val="007157E8"/>
    <w:rsid w:val="007168E4"/>
    <w:rsid w:val="0071747D"/>
    <w:rsid w:val="00717E4A"/>
    <w:rsid w:val="00717F97"/>
    <w:rsid w:val="00721B05"/>
    <w:rsid w:val="0072225A"/>
    <w:rsid w:val="00723980"/>
    <w:rsid w:val="007253FD"/>
    <w:rsid w:val="0073287F"/>
    <w:rsid w:val="00732991"/>
    <w:rsid w:val="00732B5D"/>
    <w:rsid w:val="0073603D"/>
    <w:rsid w:val="0073657B"/>
    <w:rsid w:val="0074168C"/>
    <w:rsid w:val="007422F9"/>
    <w:rsid w:val="00742758"/>
    <w:rsid w:val="007439CB"/>
    <w:rsid w:val="00744801"/>
    <w:rsid w:val="007459DB"/>
    <w:rsid w:val="00746170"/>
    <w:rsid w:val="00746479"/>
    <w:rsid w:val="007533AE"/>
    <w:rsid w:val="00753F97"/>
    <w:rsid w:val="0075494B"/>
    <w:rsid w:val="007562EE"/>
    <w:rsid w:val="007568F9"/>
    <w:rsid w:val="00756A87"/>
    <w:rsid w:val="00760901"/>
    <w:rsid w:val="00760FF5"/>
    <w:rsid w:val="0076148F"/>
    <w:rsid w:val="0076151B"/>
    <w:rsid w:val="0076200E"/>
    <w:rsid w:val="0076394F"/>
    <w:rsid w:val="007642D4"/>
    <w:rsid w:val="0076438A"/>
    <w:rsid w:val="00765FA2"/>
    <w:rsid w:val="00767254"/>
    <w:rsid w:val="00771958"/>
    <w:rsid w:val="00772D0A"/>
    <w:rsid w:val="00773ACC"/>
    <w:rsid w:val="00777117"/>
    <w:rsid w:val="00780F08"/>
    <w:rsid w:val="00783C29"/>
    <w:rsid w:val="0078491A"/>
    <w:rsid w:val="00785EDB"/>
    <w:rsid w:val="007913B1"/>
    <w:rsid w:val="007929B4"/>
    <w:rsid w:val="007953BE"/>
    <w:rsid w:val="007A07FC"/>
    <w:rsid w:val="007A0F82"/>
    <w:rsid w:val="007A16C5"/>
    <w:rsid w:val="007A1A2E"/>
    <w:rsid w:val="007A1FE9"/>
    <w:rsid w:val="007A27FB"/>
    <w:rsid w:val="007A357F"/>
    <w:rsid w:val="007A385B"/>
    <w:rsid w:val="007A3FCD"/>
    <w:rsid w:val="007A464F"/>
    <w:rsid w:val="007A4BE4"/>
    <w:rsid w:val="007A6F12"/>
    <w:rsid w:val="007A71D6"/>
    <w:rsid w:val="007B05EF"/>
    <w:rsid w:val="007B073E"/>
    <w:rsid w:val="007B18F8"/>
    <w:rsid w:val="007B1D0A"/>
    <w:rsid w:val="007B2A35"/>
    <w:rsid w:val="007B494E"/>
    <w:rsid w:val="007B702A"/>
    <w:rsid w:val="007C3741"/>
    <w:rsid w:val="007C3A8A"/>
    <w:rsid w:val="007C6BF7"/>
    <w:rsid w:val="007D067B"/>
    <w:rsid w:val="007D0F4E"/>
    <w:rsid w:val="007D0F51"/>
    <w:rsid w:val="007D1716"/>
    <w:rsid w:val="007D278A"/>
    <w:rsid w:val="007D40A2"/>
    <w:rsid w:val="007D40CD"/>
    <w:rsid w:val="007D4AC6"/>
    <w:rsid w:val="007D5E36"/>
    <w:rsid w:val="007D5FB9"/>
    <w:rsid w:val="007D6462"/>
    <w:rsid w:val="007D7A2B"/>
    <w:rsid w:val="007D7EF0"/>
    <w:rsid w:val="007E0641"/>
    <w:rsid w:val="007E12B6"/>
    <w:rsid w:val="007E1451"/>
    <w:rsid w:val="007E1738"/>
    <w:rsid w:val="007E2241"/>
    <w:rsid w:val="007E52D3"/>
    <w:rsid w:val="007E6D05"/>
    <w:rsid w:val="007F09D6"/>
    <w:rsid w:val="007F1E70"/>
    <w:rsid w:val="007F3CB8"/>
    <w:rsid w:val="007F3E33"/>
    <w:rsid w:val="007F679B"/>
    <w:rsid w:val="00800DF5"/>
    <w:rsid w:val="00800E82"/>
    <w:rsid w:val="00801343"/>
    <w:rsid w:val="00802322"/>
    <w:rsid w:val="008036B2"/>
    <w:rsid w:val="0080371A"/>
    <w:rsid w:val="008043ED"/>
    <w:rsid w:val="008048B1"/>
    <w:rsid w:val="00805C58"/>
    <w:rsid w:val="0080726A"/>
    <w:rsid w:val="008072F8"/>
    <w:rsid w:val="00807303"/>
    <w:rsid w:val="008102CC"/>
    <w:rsid w:val="008111E0"/>
    <w:rsid w:val="00813891"/>
    <w:rsid w:val="00813C06"/>
    <w:rsid w:val="008145C2"/>
    <w:rsid w:val="008146BE"/>
    <w:rsid w:val="00816AFA"/>
    <w:rsid w:val="008178CD"/>
    <w:rsid w:val="00817F88"/>
    <w:rsid w:val="008208F9"/>
    <w:rsid w:val="008228E7"/>
    <w:rsid w:val="00825372"/>
    <w:rsid w:val="008253EA"/>
    <w:rsid w:val="00825694"/>
    <w:rsid w:val="008258BC"/>
    <w:rsid w:val="00825F4C"/>
    <w:rsid w:val="0082679F"/>
    <w:rsid w:val="00831D72"/>
    <w:rsid w:val="00833515"/>
    <w:rsid w:val="00833B4C"/>
    <w:rsid w:val="008354D4"/>
    <w:rsid w:val="00835711"/>
    <w:rsid w:val="00835905"/>
    <w:rsid w:val="008365A6"/>
    <w:rsid w:val="008366A0"/>
    <w:rsid w:val="00836DA4"/>
    <w:rsid w:val="00837A66"/>
    <w:rsid w:val="008409C3"/>
    <w:rsid w:val="00842116"/>
    <w:rsid w:val="008447F5"/>
    <w:rsid w:val="00844FE9"/>
    <w:rsid w:val="008455E4"/>
    <w:rsid w:val="008468F1"/>
    <w:rsid w:val="00846CCE"/>
    <w:rsid w:val="0085113F"/>
    <w:rsid w:val="00851E75"/>
    <w:rsid w:val="00852DB6"/>
    <w:rsid w:val="00853D61"/>
    <w:rsid w:val="008542F4"/>
    <w:rsid w:val="00854CC9"/>
    <w:rsid w:val="008577B1"/>
    <w:rsid w:val="00860C19"/>
    <w:rsid w:val="008616FE"/>
    <w:rsid w:val="008619B8"/>
    <w:rsid w:val="00861C07"/>
    <w:rsid w:val="008653CB"/>
    <w:rsid w:val="00865760"/>
    <w:rsid w:val="00866802"/>
    <w:rsid w:val="00866C7E"/>
    <w:rsid w:val="00871431"/>
    <w:rsid w:val="0087442D"/>
    <w:rsid w:val="00875173"/>
    <w:rsid w:val="00875266"/>
    <w:rsid w:val="00877D73"/>
    <w:rsid w:val="008804AE"/>
    <w:rsid w:val="008819AB"/>
    <w:rsid w:val="00884452"/>
    <w:rsid w:val="00886695"/>
    <w:rsid w:val="0088766E"/>
    <w:rsid w:val="00890FD0"/>
    <w:rsid w:val="0089299B"/>
    <w:rsid w:val="00893054"/>
    <w:rsid w:val="00894F70"/>
    <w:rsid w:val="008956AC"/>
    <w:rsid w:val="008957EF"/>
    <w:rsid w:val="00895DD4"/>
    <w:rsid w:val="0089680F"/>
    <w:rsid w:val="008979AD"/>
    <w:rsid w:val="008A1013"/>
    <w:rsid w:val="008A16CC"/>
    <w:rsid w:val="008A38CE"/>
    <w:rsid w:val="008A6061"/>
    <w:rsid w:val="008A6CF8"/>
    <w:rsid w:val="008A70AB"/>
    <w:rsid w:val="008A70DA"/>
    <w:rsid w:val="008B0411"/>
    <w:rsid w:val="008B0C27"/>
    <w:rsid w:val="008B0D7A"/>
    <w:rsid w:val="008B4EDF"/>
    <w:rsid w:val="008B7318"/>
    <w:rsid w:val="008B768F"/>
    <w:rsid w:val="008C0362"/>
    <w:rsid w:val="008C11E9"/>
    <w:rsid w:val="008C1E94"/>
    <w:rsid w:val="008C3298"/>
    <w:rsid w:val="008C4523"/>
    <w:rsid w:val="008C46CC"/>
    <w:rsid w:val="008C48F5"/>
    <w:rsid w:val="008C4E1D"/>
    <w:rsid w:val="008C53CD"/>
    <w:rsid w:val="008C6388"/>
    <w:rsid w:val="008C6451"/>
    <w:rsid w:val="008C66ED"/>
    <w:rsid w:val="008C7185"/>
    <w:rsid w:val="008C7463"/>
    <w:rsid w:val="008C7B81"/>
    <w:rsid w:val="008D1B09"/>
    <w:rsid w:val="008D4FE4"/>
    <w:rsid w:val="008D5FAC"/>
    <w:rsid w:val="008D6AD0"/>
    <w:rsid w:val="008D7EEA"/>
    <w:rsid w:val="008D7F68"/>
    <w:rsid w:val="008E1059"/>
    <w:rsid w:val="008E1B19"/>
    <w:rsid w:val="008E2246"/>
    <w:rsid w:val="008E2EC4"/>
    <w:rsid w:val="008E36AE"/>
    <w:rsid w:val="008E4F20"/>
    <w:rsid w:val="008E5E90"/>
    <w:rsid w:val="008F07A9"/>
    <w:rsid w:val="008F087D"/>
    <w:rsid w:val="008F12D1"/>
    <w:rsid w:val="008F13D8"/>
    <w:rsid w:val="008F17AF"/>
    <w:rsid w:val="008F1E21"/>
    <w:rsid w:val="008F4997"/>
    <w:rsid w:val="008F4AF8"/>
    <w:rsid w:val="008F7CFA"/>
    <w:rsid w:val="009010DF"/>
    <w:rsid w:val="0090180F"/>
    <w:rsid w:val="00901EBA"/>
    <w:rsid w:val="00904F99"/>
    <w:rsid w:val="0090508B"/>
    <w:rsid w:val="0090532C"/>
    <w:rsid w:val="0090697D"/>
    <w:rsid w:val="00906DFD"/>
    <w:rsid w:val="0090700C"/>
    <w:rsid w:val="0090721D"/>
    <w:rsid w:val="009102FA"/>
    <w:rsid w:val="009107C7"/>
    <w:rsid w:val="00911BF0"/>
    <w:rsid w:val="0091433C"/>
    <w:rsid w:val="00914893"/>
    <w:rsid w:val="009151AD"/>
    <w:rsid w:val="0091617D"/>
    <w:rsid w:val="009208AC"/>
    <w:rsid w:val="00920935"/>
    <w:rsid w:val="00921051"/>
    <w:rsid w:val="009240F2"/>
    <w:rsid w:val="009242D3"/>
    <w:rsid w:val="00925018"/>
    <w:rsid w:val="009254FB"/>
    <w:rsid w:val="00925B10"/>
    <w:rsid w:val="00926765"/>
    <w:rsid w:val="00927AB2"/>
    <w:rsid w:val="0093131C"/>
    <w:rsid w:val="00932349"/>
    <w:rsid w:val="00932557"/>
    <w:rsid w:val="00932F83"/>
    <w:rsid w:val="00933455"/>
    <w:rsid w:val="009342C8"/>
    <w:rsid w:val="00934805"/>
    <w:rsid w:val="00935548"/>
    <w:rsid w:val="00936850"/>
    <w:rsid w:val="009406B8"/>
    <w:rsid w:val="00940C3D"/>
    <w:rsid w:val="0094287C"/>
    <w:rsid w:val="00944152"/>
    <w:rsid w:val="009445F2"/>
    <w:rsid w:val="00944B35"/>
    <w:rsid w:val="0094568F"/>
    <w:rsid w:val="009467AD"/>
    <w:rsid w:val="00947CCC"/>
    <w:rsid w:val="0095008B"/>
    <w:rsid w:val="00952463"/>
    <w:rsid w:val="00953698"/>
    <w:rsid w:val="0095388B"/>
    <w:rsid w:val="009546DD"/>
    <w:rsid w:val="00955A88"/>
    <w:rsid w:val="009560EC"/>
    <w:rsid w:val="009573CF"/>
    <w:rsid w:val="0095746E"/>
    <w:rsid w:val="009574B4"/>
    <w:rsid w:val="009577F3"/>
    <w:rsid w:val="00957A40"/>
    <w:rsid w:val="009600D8"/>
    <w:rsid w:val="00960868"/>
    <w:rsid w:val="00960C63"/>
    <w:rsid w:val="009618DF"/>
    <w:rsid w:val="00963B71"/>
    <w:rsid w:val="00964D8B"/>
    <w:rsid w:val="00965388"/>
    <w:rsid w:val="00966861"/>
    <w:rsid w:val="00970318"/>
    <w:rsid w:val="009728E7"/>
    <w:rsid w:val="00972CDE"/>
    <w:rsid w:val="00972E82"/>
    <w:rsid w:val="00973621"/>
    <w:rsid w:val="00973AB0"/>
    <w:rsid w:val="00974CFA"/>
    <w:rsid w:val="00974DB4"/>
    <w:rsid w:val="00974EFE"/>
    <w:rsid w:val="00976F87"/>
    <w:rsid w:val="009775ED"/>
    <w:rsid w:val="00977826"/>
    <w:rsid w:val="00977D12"/>
    <w:rsid w:val="009803E9"/>
    <w:rsid w:val="009806DA"/>
    <w:rsid w:val="00981A47"/>
    <w:rsid w:val="00981BFA"/>
    <w:rsid w:val="0098496E"/>
    <w:rsid w:val="00984BEF"/>
    <w:rsid w:val="0098588B"/>
    <w:rsid w:val="00986ED9"/>
    <w:rsid w:val="00990339"/>
    <w:rsid w:val="009921E1"/>
    <w:rsid w:val="009933B5"/>
    <w:rsid w:val="00994641"/>
    <w:rsid w:val="009954B6"/>
    <w:rsid w:val="00995D09"/>
    <w:rsid w:val="00996162"/>
    <w:rsid w:val="00996825"/>
    <w:rsid w:val="00997063"/>
    <w:rsid w:val="00997F6B"/>
    <w:rsid w:val="009A1357"/>
    <w:rsid w:val="009A2DD0"/>
    <w:rsid w:val="009A39A9"/>
    <w:rsid w:val="009A3F47"/>
    <w:rsid w:val="009A436F"/>
    <w:rsid w:val="009A45AC"/>
    <w:rsid w:val="009A499E"/>
    <w:rsid w:val="009B2C65"/>
    <w:rsid w:val="009B3139"/>
    <w:rsid w:val="009B4A69"/>
    <w:rsid w:val="009B515E"/>
    <w:rsid w:val="009B549F"/>
    <w:rsid w:val="009B5E30"/>
    <w:rsid w:val="009B69A0"/>
    <w:rsid w:val="009B7B24"/>
    <w:rsid w:val="009B7DB1"/>
    <w:rsid w:val="009C0606"/>
    <w:rsid w:val="009C49CF"/>
    <w:rsid w:val="009C5516"/>
    <w:rsid w:val="009C5CAE"/>
    <w:rsid w:val="009C695D"/>
    <w:rsid w:val="009C7484"/>
    <w:rsid w:val="009D2ED3"/>
    <w:rsid w:val="009D4D48"/>
    <w:rsid w:val="009D5555"/>
    <w:rsid w:val="009D6BCF"/>
    <w:rsid w:val="009D710B"/>
    <w:rsid w:val="009E16D5"/>
    <w:rsid w:val="009E34A0"/>
    <w:rsid w:val="009E50C3"/>
    <w:rsid w:val="009E5928"/>
    <w:rsid w:val="009E5E4E"/>
    <w:rsid w:val="009E6490"/>
    <w:rsid w:val="009F02F5"/>
    <w:rsid w:val="009F0CC9"/>
    <w:rsid w:val="009F165B"/>
    <w:rsid w:val="009F59A3"/>
    <w:rsid w:val="009F5BD1"/>
    <w:rsid w:val="00A00B5E"/>
    <w:rsid w:val="00A00B7C"/>
    <w:rsid w:val="00A015DF"/>
    <w:rsid w:val="00A01EEA"/>
    <w:rsid w:val="00A02D95"/>
    <w:rsid w:val="00A03DED"/>
    <w:rsid w:val="00A04039"/>
    <w:rsid w:val="00A07217"/>
    <w:rsid w:val="00A10FCD"/>
    <w:rsid w:val="00A1196D"/>
    <w:rsid w:val="00A12C10"/>
    <w:rsid w:val="00A14BFF"/>
    <w:rsid w:val="00A1558D"/>
    <w:rsid w:val="00A15E9C"/>
    <w:rsid w:val="00A21F09"/>
    <w:rsid w:val="00A24F0F"/>
    <w:rsid w:val="00A2518C"/>
    <w:rsid w:val="00A25C09"/>
    <w:rsid w:val="00A30C9A"/>
    <w:rsid w:val="00A32629"/>
    <w:rsid w:val="00A32D33"/>
    <w:rsid w:val="00A353BC"/>
    <w:rsid w:val="00A357B3"/>
    <w:rsid w:val="00A358C2"/>
    <w:rsid w:val="00A36A00"/>
    <w:rsid w:val="00A371FF"/>
    <w:rsid w:val="00A37AA8"/>
    <w:rsid w:val="00A4029A"/>
    <w:rsid w:val="00A40B80"/>
    <w:rsid w:val="00A41147"/>
    <w:rsid w:val="00A42030"/>
    <w:rsid w:val="00A42E53"/>
    <w:rsid w:val="00A44412"/>
    <w:rsid w:val="00A44E83"/>
    <w:rsid w:val="00A45F55"/>
    <w:rsid w:val="00A465F9"/>
    <w:rsid w:val="00A512A2"/>
    <w:rsid w:val="00A51480"/>
    <w:rsid w:val="00A54464"/>
    <w:rsid w:val="00A57C29"/>
    <w:rsid w:val="00A62053"/>
    <w:rsid w:val="00A632FA"/>
    <w:rsid w:val="00A6592C"/>
    <w:rsid w:val="00A672FD"/>
    <w:rsid w:val="00A70BED"/>
    <w:rsid w:val="00A70DC7"/>
    <w:rsid w:val="00A73558"/>
    <w:rsid w:val="00A745A3"/>
    <w:rsid w:val="00A75544"/>
    <w:rsid w:val="00A7676D"/>
    <w:rsid w:val="00A775AC"/>
    <w:rsid w:val="00A77ADA"/>
    <w:rsid w:val="00A808AE"/>
    <w:rsid w:val="00A82490"/>
    <w:rsid w:val="00A82DB5"/>
    <w:rsid w:val="00A83855"/>
    <w:rsid w:val="00A853F9"/>
    <w:rsid w:val="00A857E3"/>
    <w:rsid w:val="00A86570"/>
    <w:rsid w:val="00A87663"/>
    <w:rsid w:val="00A87B2C"/>
    <w:rsid w:val="00A87F5F"/>
    <w:rsid w:val="00A907E9"/>
    <w:rsid w:val="00A9245A"/>
    <w:rsid w:val="00A9287E"/>
    <w:rsid w:val="00A928F0"/>
    <w:rsid w:val="00A93AC6"/>
    <w:rsid w:val="00A96E82"/>
    <w:rsid w:val="00AA04C6"/>
    <w:rsid w:val="00AA3730"/>
    <w:rsid w:val="00AA3F4F"/>
    <w:rsid w:val="00AA519F"/>
    <w:rsid w:val="00AA58E3"/>
    <w:rsid w:val="00AA6078"/>
    <w:rsid w:val="00AA7C65"/>
    <w:rsid w:val="00AB0E45"/>
    <w:rsid w:val="00AB138A"/>
    <w:rsid w:val="00AB15E4"/>
    <w:rsid w:val="00AB16E2"/>
    <w:rsid w:val="00AB2B97"/>
    <w:rsid w:val="00AB2CF9"/>
    <w:rsid w:val="00AB373D"/>
    <w:rsid w:val="00AB3798"/>
    <w:rsid w:val="00AB3C36"/>
    <w:rsid w:val="00AB4652"/>
    <w:rsid w:val="00AB610D"/>
    <w:rsid w:val="00AB624C"/>
    <w:rsid w:val="00AB6E82"/>
    <w:rsid w:val="00AB7FB6"/>
    <w:rsid w:val="00AC0253"/>
    <w:rsid w:val="00AC0C3F"/>
    <w:rsid w:val="00AC35BF"/>
    <w:rsid w:val="00AC37F6"/>
    <w:rsid w:val="00AC409A"/>
    <w:rsid w:val="00AC5A56"/>
    <w:rsid w:val="00AC68CD"/>
    <w:rsid w:val="00AD00F7"/>
    <w:rsid w:val="00AD1454"/>
    <w:rsid w:val="00AD2D94"/>
    <w:rsid w:val="00AD447E"/>
    <w:rsid w:val="00AD4FCF"/>
    <w:rsid w:val="00AD6040"/>
    <w:rsid w:val="00AD6B2D"/>
    <w:rsid w:val="00AE00CD"/>
    <w:rsid w:val="00AE12E6"/>
    <w:rsid w:val="00AE1786"/>
    <w:rsid w:val="00AE1BC1"/>
    <w:rsid w:val="00AE1E56"/>
    <w:rsid w:val="00AE27CD"/>
    <w:rsid w:val="00AE38B9"/>
    <w:rsid w:val="00AE3B44"/>
    <w:rsid w:val="00AE4411"/>
    <w:rsid w:val="00AE6B76"/>
    <w:rsid w:val="00AE6B8F"/>
    <w:rsid w:val="00AE7854"/>
    <w:rsid w:val="00AF0C67"/>
    <w:rsid w:val="00AF1A02"/>
    <w:rsid w:val="00AF20E8"/>
    <w:rsid w:val="00AF22DA"/>
    <w:rsid w:val="00AF2F36"/>
    <w:rsid w:val="00AF5B92"/>
    <w:rsid w:val="00AF7A07"/>
    <w:rsid w:val="00B01D2D"/>
    <w:rsid w:val="00B02B9A"/>
    <w:rsid w:val="00B05571"/>
    <w:rsid w:val="00B155CA"/>
    <w:rsid w:val="00B15C41"/>
    <w:rsid w:val="00B167A9"/>
    <w:rsid w:val="00B16D1C"/>
    <w:rsid w:val="00B1702E"/>
    <w:rsid w:val="00B175B2"/>
    <w:rsid w:val="00B175DE"/>
    <w:rsid w:val="00B219D3"/>
    <w:rsid w:val="00B23133"/>
    <w:rsid w:val="00B24313"/>
    <w:rsid w:val="00B2650B"/>
    <w:rsid w:val="00B272CB"/>
    <w:rsid w:val="00B27CF7"/>
    <w:rsid w:val="00B31196"/>
    <w:rsid w:val="00B336E4"/>
    <w:rsid w:val="00B34F2E"/>
    <w:rsid w:val="00B35BE1"/>
    <w:rsid w:val="00B35E3B"/>
    <w:rsid w:val="00B365AD"/>
    <w:rsid w:val="00B366E0"/>
    <w:rsid w:val="00B40A5B"/>
    <w:rsid w:val="00B4231D"/>
    <w:rsid w:val="00B43282"/>
    <w:rsid w:val="00B4402A"/>
    <w:rsid w:val="00B47106"/>
    <w:rsid w:val="00B47446"/>
    <w:rsid w:val="00B4769F"/>
    <w:rsid w:val="00B50909"/>
    <w:rsid w:val="00B51CB6"/>
    <w:rsid w:val="00B524FB"/>
    <w:rsid w:val="00B548DE"/>
    <w:rsid w:val="00B54F8B"/>
    <w:rsid w:val="00B551E1"/>
    <w:rsid w:val="00B552C5"/>
    <w:rsid w:val="00B5612E"/>
    <w:rsid w:val="00B56694"/>
    <w:rsid w:val="00B603D3"/>
    <w:rsid w:val="00B61A45"/>
    <w:rsid w:val="00B61B70"/>
    <w:rsid w:val="00B61DCD"/>
    <w:rsid w:val="00B63645"/>
    <w:rsid w:val="00B63A2B"/>
    <w:rsid w:val="00B63E55"/>
    <w:rsid w:val="00B654B7"/>
    <w:rsid w:val="00B654D2"/>
    <w:rsid w:val="00B66228"/>
    <w:rsid w:val="00B666A1"/>
    <w:rsid w:val="00B72DE2"/>
    <w:rsid w:val="00B736B9"/>
    <w:rsid w:val="00B73FAF"/>
    <w:rsid w:val="00B75C9F"/>
    <w:rsid w:val="00B75F17"/>
    <w:rsid w:val="00B7662E"/>
    <w:rsid w:val="00B772B7"/>
    <w:rsid w:val="00B774DD"/>
    <w:rsid w:val="00B77D76"/>
    <w:rsid w:val="00B80A65"/>
    <w:rsid w:val="00B80DD4"/>
    <w:rsid w:val="00B8372A"/>
    <w:rsid w:val="00B8399F"/>
    <w:rsid w:val="00B85B1F"/>
    <w:rsid w:val="00B85EBF"/>
    <w:rsid w:val="00B87D33"/>
    <w:rsid w:val="00B87ECC"/>
    <w:rsid w:val="00B90305"/>
    <w:rsid w:val="00B90D22"/>
    <w:rsid w:val="00B9328D"/>
    <w:rsid w:val="00B93530"/>
    <w:rsid w:val="00B93957"/>
    <w:rsid w:val="00B95A84"/>
    <w:rsid w:val="00B96722"/>
    <w:rsid w:val="00B97250"/>
    <w:rsid w:val="00BA017C"/>
    <w:rsid w:val="00BA073F"/>
    <w:rsid w:val="00BA0CF3"/>
    <w:rsid w:val="00BA1450"/>
    <w:rsid w:val="00BA24EE"/>
    <w:rsid w:val="00BA5B56"/>
    <w:rsid w:val="00BA5DFA"/>
    <w:rsid w:val="00BB1D53"/>
    <w:rsid w:val="00BB27C8"/>
    <w:rsid w:val="00BB3636"/>
    <w:rsid w:val="00BB3BEF"/>
    <w:rsid w:val="00BB5182"/>
    <w:rsid w:val="00BB752D"/>
    <w:rsid w:val="00BC343D"/>
    <w:rsid w:val="00BC3DD9"/>
    <w:rsid w:val="00BC52D5"/>
    <w:rsid w:val="00BC5D3D"/>
    <w:rsid w:val="00BC6036"/>
    <w:rsid w:val="00BC6143"/>
    <w:rsid w:val="00BC67A5"/>
    <w:rsid w:val="00BC7D98"/>
    <w:rsid w:val="00BC7FC7"/>
    <w:rsid w:val="00BD1DB3"/>
    <w:rsid w:val="00BD1F37"/>
    <w:rsid w:val="00BD2A10"/>
    <w:rsid w:val="00BD2E14"/>
    <w:rsid w:val="00BD373B"/>
    <w:rsid w:val="00BD3AED"/>
    <w:rsid w:val="00BD4847"/>
    <w:rsid w:val="00BD54A8"/>
    <w:rsid w:val="00BD5BAB"/>
    <w:rsid w:val="00BD5F5D"/>
    <w:rsid w:val="00BD6504"/>
    <w:rsid w:val="00BD741D"/>
    <w:rsid w:val="00BE0AA1"/>
    <w:rsid w:val="00BE2291"/>
    <w:rsid w:val="00BE24A6"/>
    <w:rsid w:val="00BE30D0"/>
    <w:rsid w:val="00BE380A"/>
    <w:rsid w:val="00BE475D"/>
    <w:rsid w:val="00BE4C87"/>
    <w:rsid w:val="00BE4D58"/>
    <w:rsid w:val="00BE560E"/>
    <w:rsid w:val="00BE5DB6"/>
    <w:rsid w:val="00BE61B5"/>
    <w:rsid w:val="00BE6CBB"/>
    <w:rsid w:val="00BF0B69"/>
    <w:rsid w:val="00BF1325"/>
    <w:rsid w:val="00BF2FB7"/>
    <w:rsid w:val="00BF4998"/>
    <w:rsid w:val="00BF4B9D"/>
    <w:rsid w:val="00BF7FC0"/>
    <w:rsid w:val="00C0021C"/>
    <w:rsid w:val="00C00779"/>
    <w:rsid w:val="00C01717"/>
    <w:rsid w:val="00C03B1E"/>
    <w:rsid w:val="00C046C3"/>
    <w:rsid w:val="00C06C9B"/>
    <w:rsid w:val="00C10019"/>
    <w:rsid w:val="00C10217"/>
    <w:rsid w:val="00C103B4"/>
    <w:rsid w:val="00C11223"/>
    <w:rsid w:val="00C123AF"/>
    <w:rsid w:val="00C13D06"/>
    <w:rsid w:val="00C1409E"/>
    <w:rsid w:val="00C15844"/>
    <w:rsid w:val="00C1602A"/>
    <w:rsid w:val="00C16F75"/>
    <w:rsid w:val="00C17027"/>
    <w:rsid w:val="00C17F94"/>
    <w:rsid w:val="00C22EBD"/>
    <w:rsid w:val="00C230FE"/>
    <w:rsid w:val="00C23467"/>
    <w:rsid w:val="00C2486D"/>
    <w:rsid w:val="00C258C2"/>
    <w:rsid w:val="00C27012"/>
    <w:rsid w:val="00C27926"/>
    <w:rsid w:val="00C311B0"/>
    <w:rsid w:val="00C32407"/>
    <w:rsid w:val="00C326E2"/>
    <w:rsid w:val="00C3458F"/>
    <w:rsid w:val="00C36139"/>
    <w:rsid w:val="00C37217"/>
    <w:rsid w:val="00C376D4"/>
    <w:rsid w:val="00C41618"/>
    <w:rsid w:val="00C42573"/>
    <w:rsid w:val="00C43B81"/>
    <w:rsid w:val="00C45847"/>
    <w:rsid w:val="00C50187"/>
    <w:rsid w:val="00C5024B"/>
    <w:rsid w:val="00C51400"/>
    <w:rsid w:val="00C51483"/>
    <w:rsid w:val="00C520CC"/>
    <w:rsid w:val="00C52B28"/>
    <w:rsid w:val="00C52F3C"/>
    <w:rsid w:val="00C568AB"/>
    <w:rsid w:val="00C570CC"/>
    <w:rsid w:val="00C57984"/>
    <w:rsid w:val="00C57D08"/>
    <w:rsid w:val="00C57FB2"/>
    <w:rsid w:val="00C60A25"/>
    <w:rsid w:val="00C624EA"/>
    <w:rsid w:val="00C62BF4"/>
    <w:rsid w:val="00C63D4D"/>
    <w:rsid w:val="00C65502"/>
    <w:rsid w:val="00C66740"/>
    <w:rsid w:val="00C67AAE"/>
    <w:rsid w:val="00C712C2"/>
    <w:rsid w:val="00C73DCB"/>
    <w:rsid w:val="00C75D44"/>
    <w:rsid w:val="00C7699C"/>
    <w:rsid w:val="00C77987"/>
    <w:rsid w:val="00C80F0D"/>
    <w:rsid w:val="00C81A2B"/>
    <w:rsid w:val="00C8236F"/>
    <w:rsid w:val="00C84A93"/>
    <w:rsid w:val="00C864C4"/>
    <w:rsid w:val="00C86505"/>
    <w:rsid w:val="00C90937"/>
    <w:rsid w:val="00C90BD6"/>
    <w:rsid w:val="00C90F4E"/>
    <w:rsid w:val="00C9168C"/>
    <w:rsid w:val="00C92088"/>
    <w:rsid w:val="00C92537"/>
    <w:rsid w:val="00C94778"/>
    <w:rsid w:val="00C9498F"/>
    <w:rsid w:val="00C95870"/>
    <w:rsid w:val="00C966F1"/>
    <w:rsid w:val="00C96E26"/>
    <w:rsid w:val="00C974FD"/>
    <w:rsid w:val="00C97A5D"/>
    <w:rsid w:val="00C97F47"/>
    <w:rsid w:val="00C97FEF"/>
    <w:rsid w:val="00CA0B3D"/>
    <w:rsid w:val="00CA1CE0"/>
    <w:rsid w:val="00CA34EB"/>
    <w:rsid w:val="00CA3537"/>
    <w:rsid w:val="00CA3709"/>
    <w:rsid w:val="00CA3BAE"/>
    <w:rsid w:val="00CA453F"/>
    <w:rsid w:val="00CA4980"/>
    <w:rsid w:val="00CA4993"/>
    <w:rsid w:val="00CA7B46"/>
    <w:rsid w:val="00CB1D7F"/>
    <w:rsid w:val="00CB1DE4"/>
    <w:rsid w:val="00CB23DB"/>
    <w:rsid w:val="00CB6845"/>
    <w:rsid w:val="00CB7E3E"/>
    <w:rsid w:val="00CC0A23"/>
    <w:rsid w:val="00CC2A4D"/>
    <w:rsid w:val="00CC4839"/>
    <w:rsid w:val="00CC4A60"/>
    <w:rsid w:val="00CC55A7"/>
    <w:rsid w:val="00CD1C50"/>
    <w:rsid w:val="00CD47D5"/>
    <w:rsid w:val="00CD4F82"/>
    <w:rsid w:val="00CD6691"/>
    <w:rsid w:val="00CE0ED6"/>
    <w:rsid w:val="00CE114F"/>
    <w:rsid w:val="00CE1270"/>
    <w:rsid w:val="00CE1B90"/>
    <w:rsid w:val="00CE1EF0"/>
    <w:rsid w:val="00CE28B4"/>
    <w:rsid w:val="00CE3EE8"/>
    <w:rsid w:val="00CE4442"/>
    <w:rsid w:val="00CE5717"/>
    <w:rsid w:val="00CE5ADC"/>
    <w:rsid w:val="00CE5B3E"/>
    <w:rsid w:val="00CE7630"/>
    <w:rsid w:val="00CF0940"/>
    <w:rsid w:val="00CF16D1"/>
    <w:rsid w:val="00CF184F"/>
    <w:rsid w:val="00CF1923"/>
    <w:rsid w:val="00CF2B6C"/>
    <w:rsid w:val="00CF334B"/>
    <w:rsid w:val="00CF4F82"/>
    <w:rsid w:val="00CF66E2"/>
    <w:rsid w:val="00CF73E1"/>
    <w:rsid w:val="00D007F4"/>
    <w:rsid w:val="00D01034"/>
    <w:rsid w:val="00D015EB"/>
    <w:rsid w:val="00D0429F"/>
    <w:rsid w:val="00D04A9F"/>
    <w:rsid w:val="00D04B66"/>
    <w:rsid w:val="00D06043"/>
    <w:rsid w:val="00D064ED"/>
    <w:rsid w:val="00D1098D"/>
    <w:rsid w:val="00D12E31"/>
    <w:rsid w:val="00D13E45"/>
    <w:rsid w:val="00D160C8"/>
    <w:rsid w:val="00D162F8"/>
    <w:rsid w:val="00D1686C"/>
    <w:rsid w:val="00D20C37"/>
    <w:rsid w:val="00D21590"/>
    <w:rsid w:val="00D21F7E"/>
    <w:rsid w:val="00D22099"/>
    <w:rsid w:val="00D22717"/>
    <w:rsid w:val="00D239CF"/>
    <w:rsid w:val="00D31148"/>
    <w:rsid w:val="00D312E6"/>
    <w:rsid w:val="00D31724"/>
    <w:rsid w:val="00D32DD1"/>
    <w:rsid w:val="00D3406F"/>
    <w:rsid w:val="00D34E53"/>
    <w:rsid w:val="00D36D79"/>
    <w:rsid w:val="00D37512"/>
    <w:rsid w:val="00D37857"/>
    <w:rsid w:val="00D4024F"/>
    <w:rsid w:val="00D404FA"/>
    <w:rsid w:val="00D42339"/>
    <w:rsid w:val="00D42359"/>
    <w:rsid w:val="00D431BB"/>
    <w:rsid w:val="00D4554B"/>
    <w:rsid w:val="00D45EC5"/>
    <w:rsid w:val="00D47F87"/>
    <w:rsid w:val="00D503A8"/>
    <w:rsid w:val="00D50D2A"/>
    <w:rsid w:val="00D5254B"/>
    <w:rsid w:val="00D52627"/>
    <w:rsid w:val="00D53915"/>
    <w:rsid w:val="00D542CC"/>
    <w:rsid w:val="00D54880"/>
    <w:rsid w:val="00D57F5C"/>
    <w:rsid w:val="00D613C4"/>
    <w:rsid w:val="00D617E8"/>
    <w:rsid w:val="00D62B64"/>
    <w:rsid w:val="00D62E1B"/>
    <w:rsid w:val="00D633D6"/>
    <w:rsid w:val="00D6364F"/>
    <w:rsid w:val="00D640AF"/>
    <w:rsid w:val="00D64574"/>
    <w:rsid w:val="00D65B20"/>
    <w:rsid w:val="00D6667B"/>
    <w:rsid w:val="00D6667E"/>
    <w:rsid w:val="00D67484"/>
    <w:rsid w:val="00D67BB4"/>
    <w:rsid w:val="00D67D4D"/>
    <w:rsid w:val="00D67F13"/>
    <w:rsid w:val="00D71407"/>
    <w:rsid w:val="00D721B7"/>
    <w:rsid w:val="00D73017"/>
    <w:rsid w:val="00D73606"/>
    <w:rsid w:val="00D73AA4"/>
    <w:rsid w:val="00D73F6B"/>
    <w:rsid w:val="00D75464"/>
    <w:rsid w:val="00D77BBC"/>
    <w:rsid w:val="00D80306"/>
    <w:rsid w:val="00D811BE"/>
    <w:rsid w:val="00D81A82"/>
    <w:rsid w:val="00D81C8D"/>
    <w:rsid w:val="00D81F8A"/>
    <w:rsid w:val="00D82E6F"/>
    <w:rsid w:val="00D855D6"/>
    <w:rsid w:val="00D85E6F"/>
    <w:rsid w:val="00D86A88"/>
    <w:rsid w:val="00D90BEF"/>
    <w:rsid w:val="00D90CC4"/>
    <w:rsid w:val="00D90EFC"/>
    <w:rsid w:val="00D921B9"/>
    <w:rsid w:val="00D922AE"/>
    <w:rsid w:val="00D92B11"/>
    <w:rsid w:val="00D93B92"/>
    <w:rsid w:val="00D95DDE"/>
    <w:rsid w:val="00DA0D2B"/>
    <w:rsid w:val="00DA2947"/>
    <w:rsid w:val="00DA2A33"/>
    <w:rsid w:val="00DA2A3E"/>
    <w:rsid w:val="00DA2CB5"/>
    <w:rsid w:val="00DA37F2"/>
    <w:rsid w:val="00DA4034"/>
    <w:rsid w:val="00DA4321"/>
    <w:rsid w:val="00DA43CC"/>
    <w:rsid w:val="00DA5921"/>
    <w:rsid w:val="00DA6100"/>
    <w:rsid w:val="00DA75CE"/>
    <w:rsid w:val="00DA78E3"/>
    <w:rsid w:val="00DB345F"/>
    <w:rsid w:val="00DB3A04"/>
    <w:rsid w:val="00DB3C77"/>
    <w:rsid w:val="00DB466D"/>
    <w:rsid w:val="00DB5C47"/>
    <w:rsid w:val="00DB7588"/>
    <w:rsid w:val="00DB759E"/>
    <w:rsid w:val="00DB7B23"/>
    <w:rsid w:val="00DC0618"/>
    <w:rsid w:val="00DC2742"/>
    <w:rsid w:val="00DC3EFE"/>
    <w:rsid w:val="00DC3F37"/>
    <w:rsid w:val="00DC4B09"/>
    <w:rsid w:val="00DC533B"/>
    <w:rsid w:val="00DC58F1"/>
    <w:rsid w:val="00DC6486"/>
    <w:rsid w:val="00DC6AAD"/>
    <w:rsid w:val="00DC6CAD"/>
    <w:rsid w:val="00DC7932"/>
    <w:rsid w:val="00DD019D"/>
    <w:rsid w:val="00DD0C96"/>
    <w:rsid w:val="00DD1221"/>
    <w:rsid w:val="00DD3063"/>
    <w:rsid w:val="00DD3705"/>
    <w:rsid w:val="00DD4E25"/>
    <w:rsid w:val="00DD6A77"/>
    <w:rsid w:val="00DD6EE0"/>
    <w:rsid w:val="00DD7E69"/>
    <w:rsid w:val="00DE000E"/>
    <w:rsid w:val="00DE1202"/>
    <w:rsid w:val="00DE1C02"/>
    <w:rsid w:val="00DE2485"/>
    <w:rsid w:val="00DE3856"/>
    <w:rsid w:val="00DE3B54"/>
    <w:rsid w:val="00DE3D9B"/>
    <w:rsid w:val="00DE425D"/>
    <w:rsid w:val="00DE4CF3"/>
    <w:rsid w:val="00DE4EE0"/>
    <w:rsid w:val="00DE4F55"/>
    <w:rsid w:val="00DE5477"/>
    <w:rsid w:val="00DF158F"/>
    <w:rsid w:val="00DF18D3"/>
    <w:rsid w:val="00DF2B98"/>
    <w:rsid w:val="00DF2BB1"/>
    <w:rsid w:val="00DF2E6D"/>
    <w:rsid w:val="00DF3DF4"/>
    <w:rsid w:val="00DF4FB6"/>
    <w:rsid w:val="00DF5CE8"/>
    <w:rsid w:val="00DF6882"/>
    <w:rsid w:val="00DF77D0"/>
    <w:rsid w:val="00DF7CFF"/>
    <w:rsid w:val="00E00147"/>
    <w:rsid w:val="00E0040E"/>
    <w:rsid w:val="00E01B98"/>
    <w:rsid w:val="00E02142"/>
    <w:rsid w:val="00E02DEC"/>
    <w:rsid w:val="00E05B49"/>
    <w:rsid w:val="00E06247"/>
    <w:rsid w:val="00E0720B"/>
    <w:rsid w:val="00E10333"/>
    <w:rsid w:val="00E10347"/>
    <w:rsid w:val="00E107FF"/>
    <w:rsid w:val="00E11B0A"/>
    <w:rsid w:val="00E11DBD"/>
    <w:rsid w:val="00E125F9"/>
    <w:rsid w:val="00E126E6"/>
    <w:rsid w:val="00E14D0F"/>
    <w:rsid w:val="00E151CA"/>
    <w:rsid w:val="00E1720A"/>
    <w:rsid w:val="00E17988"/>
    <w:rsid w:val="00E17A29"/>
    <w:rsid w:val="00E20718"/>
    <w:rsid w:val="00E20EC1"/>
    <w:rsid w:val="00E22A87"/>
    <w:rsid w:val="00E2382D"/>
    <w:rsid w:val="00E246FC"/>
    <w:rsid w:val="00E25931"/>
    <w:rsid w:val="00E27A68"/>
    <w:rsid w:val="00E3012A"/>
    <w:rsid w:val="00E374CA"/>
    <w:rsid w:val="00E4037E"/>
    <w:rsid w:val="00E42594"/>
    <w:rsid w:val="00E427B0"/>
    <w:rsid w:val="00E451D9"/>
    <w:rsid w:val="00E46CFC"/>
    <w:rsid w:val="00E46D86"/>
    <w:rsid w:val="00E4786F"/>
    <w:rsid w:val="00E52FC5"/>
    <w:rsid w:val="00E53D49"/>
    <w:rsid w:val="00E5471F"/>
    <w:rsid w:val="00E559F1"/>
    <w:rsid w:val="00E55CD4"/>
    <w:rsid w:val="00E56E4C"/>
    <w:rsid w:val="00E572F1"/>
    <w:rsid w:val="00E60228"/>
    <w:rsid w:val="00E60731"/>
    <w:rsid w:val="00E60958"/>
    <w:rsid w:val="00E60D38"/>
    <w:rsid w:val="00E61255"/>
    <w:rsid w:val="00E61CDD"/>
    <w:rsid w:val="00E61FDD"/>
    <w:rsid w:val="00E62BCE"/>
    <w:rsid w:val="00E634C8"/>
    <w:rsid w:val="00E64481"/>
    <w:rsid w:val="00E646D6"/>
    <w:rsid w:val="00E660F1"/>
    <w:rsid w:val="00E66DF9"/>
    <w:rsid w:val="00E67C08"/>
    <w:rsid w:val="00E721B1"/>
    <w:rsid w:val="00E73844"/>
    <w:rsid w:val="00E74E23"/>
    <w:rsid w:val="00E760CF"/>
    <w:rsid w:val="00E76796"/>
    <w:rsid w:val="00E767E2"/>
    <w:rsid w:val="00E776DF"/>
    <w:rsid w:val="00E80BEB"/>
    <w:rsid w:val="00E8123B"/>
    <w:rsid w:val="00E8151B"/>
    <w:rsid w:val="00E82097"/>
    <w:rsid w:val="00E8231D"/>
    <w:rsid w:val="00E84524"/>
    <w:rsid w:val="00E84D6B"/>
    <w:rsid w:val="00E85B2A"/>
    <w:rsid w:val="00E93525"/>
    <w:rsid w:val="00E93583"/>
    <w:rsid w:val="00E947DF"/>
    <w:rsid w:val="00E952FA"/>
    <w:rsid w:val="00E954F1"/>
    <w:rsid w:val="00E95BDD"/>
    <w:rsid w:val="00E96351"/>
    <w:rsid w:val="00E9701E"/>
    <w:rsid w:val="00E97726"/>
    <w:rsid w:val="00EA02BB"/>
    <w:rsid w:val="00EA0491"/>
    <w:rsid w:val="00EA0B4D"/>
    <w:rsid w:val="00EA1083"/>
    <w:rsid w:val="00EA13DF"/>
    <w:rsid w:val="00EA23F2"/>
    <w:rsid w:val="00EA2567"/>
    <w:rsid w:val="00EA2A37"/>
    <w:rsid w:val="00EA35A0"/>
    <w:rsid w:val="00EA47F7"/>
    <w:rsid w:val="00EA5C2D"/>
    <w:rsid w:val="00EA6480"/>
    <w:rsid w:val="00EA7B51"/>
    <w:rsid w:val="00EA7D0C"/>
    <w:rsid w:val="00EB120B"/>
    <w:rsid w:val="00EB1FD3"/>
    <w:rsid w:val="00EB34E2"/>
    <w:rsid w:val="00EB3A25"/>
    <w:rsid w:val="00EB3B16"/>
    <w:rsid w:val="00EB462A"/>
    <w:rsid w:val="00EB6AFE"/>
    <w:rsid w:val="00EB6CF7"/>
    <w:rsid w:val="00EB7585"/>
    <w:rsid w:val="00EB792B"/>
    <w:rsid w:val="00EB7976"/>
    <w:rsid w:val="00EC0247"/>
    <w:rsid w:val="00EC0DC7"/>
    <w:rsid w:val="00EC234B"/>
    <w:rsid w:val="00EC4BD2"/>
    <w:rsid w:val="00ED1F99"/>
    <w:rsid w:val="00ED2206"/>
    <w:rsid w:val="00ED3B86"/>
    <w:rsid w:val="00ED3CA5"/>
    <w:rsid w:val="00ED41C8"/>
    <w:rsid w:val="00ED4D46"/>
    <w:rsid w:val="00ED63D3"/>
    <w:rsid w:val="00ED64AB"/>
    <w:rsid w:val="00ED69C1"/>
    <w:rsid w:val="00ED77F7"/>
    <w:rsid w:val="00ED7985"/>
    <w:rsid w:val="00ED7F89"/>
    <w:rsid w:val="00EE0A07"/>
    <w:rsid w:val="00EE0CF0"/>
    <w:rsid w:val="00EE0EDD"/>
    <w:rsid w:val="00EE0F84"/>
    <w:rsid w:val="00EE2A8A"/>
    <w:rsid w:val="00EE3A16"/>
    <w:rsid w:val="00EE5D10"/>
    <w:rsid w:val="00EF0863"/>
    <w:rsid w:val="00EF1245"/>
    <w:rsid w:val="00EF284A"/>
    <w:rsid w:val="00EF4AD9"/>
    <w:rsid w:val="00EF55F4"/>
    <w:rsid w:val="00EF5BD6"/>
    <w:rsid w:val="00EF631B"/>
    <w:rsid w:val="00EF6CCF"/>
    <w:rsid w:val="00F00E68"/>
    <w:rsid w:val="00F018A9"/>
    <w:rsid w:val="00F01ACC"/>
    <w:rsid w:val="00F07792"/>
    <w:rsid w:val="00F117A4"/>
    <w:rsid w:val="00F11C3A"/>
    <w:rsid w:val="00F122A0"/>
    <w:rsid w:val="00F12B9A"/>
    <w:rsid w:val="00F135F8"/>
    <w:rsid w:val="00F136B8"/>
    <w:rsid w:val="00F1379C"/>
    <w:rsid w:val="00F147D6"/>
    <w:rsid w:val="00F14C64"/>
    <w:rsid w:val="00F16A6A"/>
    <w:rsid w:val="00F16B3C"/>
    <w:rsid w:val="00F16CAE"/>
    <w:rsid w:val="00F16E12"/>
    <w:rsid w:val="00F175B3"/>
    <w:rsid w:val="00F17C0E"/>
    <w:rsid w:val="00F21342"/>
    <w:rsid w:val="00F21802"/>
    <w:rsid w:val="00F252C5"/>
    <w:rsid w:val="00F26CEC"/>
    <w:rsid w:val="00F276BF"/>
    <w:rsid w:val="00F31CB8"/>
    <w:rsid w:val="00F36CA3"/>
    <w:rsid w:val="00F37E72"/>
    <w:rsid w:val="00F4089C"/>
    <w:rsid w:val="00F43195"/>
    <w:rsid w:val="00F435E5"/>
    <w:rsid w:val="00F45353"/>
    <w:rsid w:val="00F47F0B"/>
    <w:rsid w:val="00F5044D"/>
    <w:rsid w:val="00F5233A"/>
    <w:rsid w:val="00F540FC"/>
    <w:rsid w:val="00F54487"/>
    <w:rsid w:val="00F554A8"/>
    <w:rsid w:val="00F56733"/>
    <w:rsid w:val="00F576F6"/>
    <w:rsid w:val="00F57B39"/>
    <w:rsid w:val="00F601DC"/>
    <w:rsid w:val="00F60952"/>
    <w:rsid w:val="00F6138D"/>
    <w:rsid w:val="00F615ED"/>
    <w:rsid w:val="00F619A6"/>
    <w:rsid w:val="00F62343"/>
    <w:rsid w:val="00F62641"/>
    <w:rsid w:val="00F63F9F"/>
    <w:rsid w:val="00F6469D"/>
    <w:rsid w:val="00F64C81"/>
    <w:rsid w:val="00F65DC9"/>
    <w:rsid w:val="00F6716F"/>
    <w:rsid w:val="00F67AD7"/>
    <w:rsid w:val="00F71369"/>
    <w:rsid w:val="00F73803"/>
    <w:rsid w:val="00F73F5E"/>
    <w:rsid w:val="00F7413A"/>
    <w:rsid w:val="00F747B7"/>
    <w:rsid w:val="00F75FD3"/>
    <w:rsid w:val="00F76687"/>
    <w:rsid w:val="00F76959"/>
    <w:rsid w:val="00F7726D"/>
    <w:rsid w:val="00F7750D"/>
    <w:rsid w:val="00F77A53"/>
    <w:rsid w:val="00F77F41"/>
    <w:rsid w:val="00F80998"/>
    <w:rsid w:val="00F80DD4"/>
    <w:rsid w:val="00F81AB5"/>
    <w:rsid w:val="00F81E03"/>
    <w:rsid w:val="00F83374"/>
    <w:rsid w:val="00F836F4"/>
    <w:rsid w:val="00F836FF"/>
    <w:rsid w:val="00F83D9A"/>
    <w:rsid w:val="00F8408F"/>
    <w:rsid w:val="00F84780"/>
    <w:rsid w:val="00F8478B"/>
    <w:rsid w:val="00F85CCD"/>
    <w:rsid w:val="00F86E32"/>
    <w:rsid w:val="00F8799F"/>
    <w:rsid w:val="00F87F8A"/>
    <w:rsid w:val="00F9108E"/>
    <w:rsid w:val="00F928DF"/>
    <w:rsid w:val="00F92F6F"/>
    <w:rsid w:val="00F93930"/>
    <w:rsid w:val="00F95A09"/>
    <w:rsid w:val="00FA3456"/>
    <w:rsid w:val="00FA3D7E"/>
    <w:rsid w:val="00FA48E0"/>
    <w:rsid w:val="00FA4D7F"/>
    <w:rsid w:val="00FA4DDE"/>
    <w:rsid w:val="00FA5BD0"/>
    <w:rsid w:val="00FA7CB3"/>
    <w:rsid w:val="00FB08F3"/>
    <w:rsid w:val="00FB0B5B"/>
    <w:rsid w:val="00FB1578"/>
    <w:rsid w:val="00FB1D04"/>
    <w:rsid w:val="00FB1D4B"/>
    <w:rsid w:val="00FB2173"/>
    <w:rsid w:val="00FB3ABB"/>
    <w:rsid w:val="00FB5B44"/>
    <w:rsid w:val="00FB6261"/>
    <w:rsid w:val="00FB63A9"/>
    <w:rsid w:val="00FB7EA7"/>
    <w:rsid w:val="00FC0677"/>
    <w:rsid w:val="00FC1189"/>
    <w:rsid w:val="00FC1CA0"/>
    <w:rsid w:val="00FC20F9"/>
    <w:rsid w:val="00FC2BAC"/>
    <w:rsid w:val="00FC304B"/>
    <w:rsid w:val="00FC6E87"/>
    <w:rsid w:val="00FC75B1"/>
    <w:rsid w:val="00FC7653"/>
    <w:rsid w:val="00FC7C00"/>
    <w:rsid w:val="00FD1521"/>
    <w:rsid w:val="00FD1579"/>
    <w:rsid w:val="00FD231D"/>
    <w:rsid w:val="00FD3097"/>
    <w:rsid w:val="00FD51D1"/>
    <w:rsid w:val="00FD5BF1"/>
    <w:rsid w:val="00FD6FB2"/>
    <w:rsid w:val="00FE0772"/>
    <w:rsid w:val="00FE1BB7"/>
    <w:rsid w:val="00FE1C32"/>
    <w:rsid w:val="00FE1F43"/>
    <w:rsid w:val="00FE2465"/>
    <w:rsid w:val="00FE6259"/>
    <w:rsid w:val="00FF0BFC"/>
    <w:rsid w:val="00FF3CB6"/>
    <w:rsid w:val="00FF78E6"/>
  </w:rsids>
  <m:mathPr>
    <m:mathFont m:val="Cambria Math"/>
    <m:smallFrac/>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24EA"/>
    <w:pPr>
      <w:spacing w:after="120"/>
    </w:pPr>
    <w:rPr>
      <w:rFonts w:ascii="Verdana" w:eastAsia="MS Mincho" w:hAnsi="Verdana"/>
      <w:szCs w:val="24"/>
    </w:rPr>
  </w:style>
  <w:style w:type="paragraph" w:styleId="Heading1">
    <w:name w:val="heading 1"/>
    <w:basedOn w:val="Normal"/>
    <w:next w:val="Normal"/>
    <w:link w:val="berschrift1Zchn"/>
    <w:autoRedefine/>
    <w:uiPriority w:val="9"/>
    <w:qFormat/>
    <w:rsid w:val="002D131D"/>
    <w:pPr>
      <w:keepNext/>
      <w:pageBreakBefore/>
      <w:numPr>
        <w:numId w:val="6"/>
      </w:numPr>
      <w:pBdr>
        <w:top w:val="single" w:sz="4" w:space="10" w:color="auto"/>
        <w:bottom w:val="single" w:sz="4" w:space="10" w:color="auto"/>
      </w:pBdr>
      <w:spacing w:before="360" w:after="240"/>
      <w:jc w:val="center"/>
      <w:outlineLvl w:val="0"/>
    </w:pPr>
    <w:rPr>
      <w:rFonts w:eastAsia="Times New Roman"/>
      <w:b/>
      <w:sz w:val="26"/>
      <w:szCs w:val="32"/>
      <w:lang w:eastAsia="en-US"/>
    </w:rPr>
  </w:style>
  <w:style w:type="paragraph" w:styleId="Heading2">
    <w:name w:val="heading 2"/>
    <w:basedOn w:val="Normal"/>
    <w:next w:val="Normal"/>
    <w:link w:val="berschrift2Zchn"/>
    <w:uiPriority w:val="9"/>
    <w:unhideWhenUsed/>
    <w:qFormat/>
    <w:rsid w:val="002D131D"/>
    <w:pPr>
      <w:keepNext/>
      <w:numPr>
        <w:ilvl w:val="1"/>
        <w:numId w:val="6"/>
      </w:numPr>
      <w:tabs>
        <w:tab w:val="left" w:pos="578"/>
      </w:tabs>
      <w:spacing w:before="480" w:after="360"/>
      <w:outlineLvl w:val="1"/>
    </w:pPr>
    <w:rPr>
      <w:rFonts w:eastAsia="Times New Roman"/>
      <w:b/>
      <w:sz w:val="24"/>
      <w:szCs w:val="26"/>
      <w:lang w:eastAsia="en-US"/>
    </w:rPr>
  </w:style>
  <w:style w:type="paragraph" w:styleId="Heading3">
    <w:name w:val="heading 3"/>
    <w:basedOn w:val="Normal"/>
    <w:next w:val="Normal"/>
    <w:link w:val="berschrift3Zchn"/>
    <w:uiPriority w:val="9"/>
    <w:unhideWhenUsed/>
    <w:qFormat/>
    <w:rsid w:val="00B77D76"/>
    <w:pPr>
      <w:keepNext/>
      <w:numPr>
        <w:ilvl w:val="2"/>
        <w:numId w:val="6"/>
      </w:numPr>
      <w:tabs>
        <w:tab w:val="left" w:pos="720"/>
      </w:tabs>
      <w:spacing w:before="360" w:after="240"/>
      <w:outlineLvl w:val="2"/>
    </w:pPr>
    <w:rPr>
      <w:rFonts w:eastAsia="Times New Roman"/>
      <w:b/>
      <w:sz w:val="24"/>
      <w:lang w:eastAsia="en-US"/>
    </w:rPr>
  </w:style>
  <w:style w:type="paragraph" w:styleId="Heading4">
    <w:name w:val="heading 4"/>
    <w:basedOn w:val="Normal"/>
    <w:next w:val="Normal"/>
    <w:link w:val="berschrift4Zchn"/>
    <w:uiPriority w:val="9"/>
    <w:unhideWhenUsed/>
    <w:qFormat/>
    <w:rsid w:val="002D131D"/>
    <w:pPr>
      <w:keepNext/>
      <w:numPr>
        <w:ilvl w:val="3"/>
        <w:numId w:val="6"/>
      </w:numPr>
      <w:tabs>
        <w:tab w:val="left" w:pos="862"/>
      </w:tabs>
      <w:spacing w:before="360" w:after="60"/>
      <w:outlineLvl w:val="3"/>
    </w:pPr>
    <w:rPr>
      <w:rFonts w:eastAsia="Times New Roman"/>
      <w:b/>
      <w:iCs/>
      <w:sz w:val="22"/>
      <w:lang w:eastAsia="en-US"/>
    </w:rPr>
  </w:style>
  <w:style w:type="paragraph" w:styleId="Heading5">
    <w:name w:val="heading 5"/>
    <w:basedOn w:val="Normal"/>
    <w:next w:val="Normal"/>
    <w:link w:val="berschrift5Zchn"/>
    <w:uiPriority w:val="9"/>
    <w:unhideWhenUsed/>
    <w:qFormat/>
    <w:rsid w:val="00B77D76"/>
    <w:pPr>
      <w:keepNext/>
      <w:numPr>
        <w:ilvl w:val="4"/>
        <w:numId w:val="6"/>
      </w:numPr>
      <w:tabs>
        <w:tab w:val="left" w:pos="1009"/>
      </w:tabs>
      <w:spacing w:before="360"/>
      <w:outlineLvl w:val="4"/>
    </w:pPr>
    <w:rPr>
      <w:rFonts w:eastAsia="Times New Roman"/>
      <w:i/>
      <w:lang w:eastAsia="en-US"/>
    </w:rPr>
  </w:style>
  <w:style w:type="paragraph" w:styleId="Heading6">
    <w:name w:val="heading 6"/>
    <w:basedOn w:val="Normal"/>
    <w:next w:val="Normal"/>
    <w:link w:val="berschrift6Zchn"/>
    <w:uiPriority w:val="9"/>
    <w:unhideWhenUsed/>
    <w:qFormat/>
    <w:rsid w:val="00B77D76"/>
    <w:pPr>
      <w:keepNext/>
      <w:numPr>
        <w:ilvl w:val="5"/>
        <w:numId w:val="6"/>
      </w:numPr>
      <w:spacing w:before="40" w:after="0"/>
      <w:outlineLvl w:val="5"/>
    </w:pPr>
    <w:rPr>
      <w:rFonts w:eastAsia="Times New Roman"/>
      <w:lang w:eastAsia="en-US"/>
    </w:rPr>
  </w:style>
  <w:style w:type="paragraph" w:styleId="Heading7">
    <w:name w:val="heading 7"/>
    <w:basedOn w:val="Normal"/>
    <w:next w:val="Normal"/>
    <w:qFormat/>
    <w:rsid w:val="001B32A6"/>
    <w:pPr>
      <w:numPr>
        <w:ilvl w:val="6"/>
        <w:numId w:val="6"/>
      </w:numPr>
      <w:spacing w:before="240" w:after="60"/>
      <w:outlineLvl w:val="6"/>
    </w:pPr>
    <w:rPr>
      <w:sz w:val="16"/>
    </w:rPr>
  </w:style>
  <w:style w:type="paragraph" w:styleId="Heading8">
    <w:name w:val="heading 8"/>
    <w:basedOn w:val="Normal"/>
    <w:next w:val="Normal"/>
    <w:qFormat/>
    <w:rsid w:val="001B32A6"/>
    <w:pPr>
      <w:numPr>
        <w:ilvl w:val="7"/>
        <w:numId w:val="6"/>
      </w:numPr>
      <w:spacing w:before="240" w:after="60"/>
      <w:outlineLvl w:val="7"/>
    </w:pPr>
    <w:rPr>
      <w:i/>
      <w:iCs/>
      <w:sz w:val="16"/>
    </w:rPr>
  </w:style>
  <w:style w:type="paragraph" w:styleId="Heading9">
    <w:name w:val="heading 9"/>
    <w:basedOn w:val="Normal"/>
    <w:next w:val="Normal"/>
    <w:qFormat/>
    <w:rsid w:val="001B32A6"/>
    <w:pPr>
      <w:numPr>
        <w:ilvl w:val="8"/>
        <w:numId w:val="6"/>
      </w:numPr>
      <w:spacing w:before="240" w:after="60"/>
      <w:outlineLvl w:val="8"/>
    </w:pPr>
    <w:rPr>
      <w:rFonts w:cs="Arial"/>
      <w:sz w:val="1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em3Zchn">
    <w:name w:val="gem_Ü3 Zchn"/>
    <w:link w:val="gem3"/>
    <w:rsid w:val="00DC533B"/>
    <w:rPr>
      <w:rFonts w:ascii="Verdana" w:hAnsi="Verdana"/>
      <w:b/>
      <w:sz w:val="24"/>
      <w:szCs w:val="24"/>
      <w:lang w:eastAsia="en-US"/>
    </w:rPr>
  </w:style>
  <w:style w:type="paragraph" w:customStyle="1" w:styleId="gemnonum4">
    <w:name w:val="gem_nonum_Ü4"/>
    <w:basedOn w:val="gem4"/>
    <w:rsid w:val="004A113B"/>
    <w:pPr>
      <w:numPr>
        <w:ilvl w:val="0"/>
        <w:numId w:val="0"/>
      </w:numPr>
    </w:pPr>
  </w:style>
  <w:style w:type="paragraph" w:customStyle="1" w:styleId="gem5">
    <w:name w:val="gem_Ü5"/>
    <w:basedOn w:val="Heading5"/>
    <w:next w:val="gemStandard"/>
    <w:rsid w:val="007B073E"/>
    <w:pPr>
      <w:numPr>
        <w:numId w:val="2"/>
      </w:numPr>
      <w:outlineLvl w:val="9"/>
    </w:pPr>
    <w:rPr>
      <w:bCs/>
      <w:iCs/>
      <w:szCs w:val="22"/>
    </w:rPr>
  </w:style>
  <w:style w:type="paragraph" w:customStyle="1" w:styleId="gem3">
    <w:name w:val="gem_Ü3"/>
    <w:basedOn w:val="Heading3"/>
    <w:next w:val="gemStandard"/>
    <w:link w:val="gem3Zchn"/>
    <w:rsid w:val="00DC533B"/>
    <w:pPr>
      <w:numPr>
        <w:numId w:val="2"/>
      </w:numPr>
      <w:tabs>
        <w:tab w:val="clear" w:pos="1080"/>
      </w:tabs>
      <w:ind w:left="720"/>
    </w:pPr>
  </w:style>
  <w:style w:type="paragraph" w:customStyle="1" w:styleId="gem4">
    <w:name w:val="gem_Ü4"/>
    <w:basedOn w:val="Heading4"/>
    <w:next w:val="gemStandard"/>
    <w:link w:val="gem4Zchn"/>
    <w:rsid w:val="001B32A6"/>
    <w:pPr>
      <w:numPr>
        <w:numId w:val="2"/>
      </w:numPr>
      <w:outlineLvl w:val="9"/>
    </w:pPr>
    <w:rPr>
      <w:bCs/>
      <w:szCs w:val="20"/>
    </w:rPr>
  </w:style>
  <w:style w:type="paragraph" w:styleId="TOC1">
    <w:name w:val="toc 1"/>
    <w:basedOn w:val="Normal"/>
    <w:next w:val="TOC2"/>
    <w:autoRedefine/>
    <w:uiPriority w:val="39"/>
    <w:rsid w:val="005C4FA8"/>
    <w:pPr>
      <w:spacing w:before="240"/>
    </w:pPr>
    <w:rPr>
      <w:b/>
      <w:bCs/>
      <w:sz w:val="24"/>
    </w:rPr>
  </w:style>
  <w:style w:type="paragraph" w:styleId="TOC2">
    <w:name w:val="toc 2"/>
    <w:basedOn w:val="Normal"/>
    <w:next w:val="Normal"/>
    <w:autoRedefine/>
    <w:uiPriority w:val="39"/>
    <w:rsid w:val="005C4FA8"/>
    <w:pPr>
      <w:spacing w:before="120" w:after="0"/>
      <w:ind w:left="221"/>
    </w:pPr>
    <w:rPr>
      <w:b/>
      <w:iCs/>
      <w:szCs w:val="20"/>
    </w:rPr>
  </w:style>
  <w:style w:type="paragraph" w:styleId="TOC3">
    <w:name w:val="toc 3"/>
    <w:basedOn w:val="Normal"/>
    <w:next w:val="TOC4"/>
    <w:autoRedefine/>
    <w:uiPriority w:val="39"/>
    <w:rsid w:val="005C4FA8"/>
    <w:pPr>
      <w:spacing w:after="0"/>
      <w:ind w:left="442"/>
    </w:pPr>
    <w:rPr>
      <w:szCs w:val="20"/>
    </w:rPr>
  </w:style>
  <w:style w:type="paragraph" w:styleId="TOC4">
    <w:name w:val="toc 4"/>
    <w:basedOn w:val="Normal"/>
    <w:next w:val="Normal"/>
    <w:autoRedefine/>
    <w:uiPriority w:val="39"/>
    <w:rsid w:val="005C4FA8"/>
    <w:pPr>
      <w:spacing w:after="0"/>
      <w:ind w:left="660"/>
    </w:pPr>
    <w:rPr>
      <w:i/>
      <w:szCs w:val="20"/>
    </w:rPr>
  </w:style>
  <w:style w:type="character" w:styleId="Hyperlink">
    <w:name w:val="Hyperlink"/>
    <w:uiPriority w:val="99"/>
    <w:rsid w:val="00CA7B46"/>
    <w:rPr>
      <w:color w:val="0000FF"/>
      <w:u w:val="single"/>
    </w:rPr>
  </w:style>
  <w:style w:type="paragraph" w:styleId="Header">
    <w:name w:val="header"/>
    <w:basedOn w:val="Normal"/>
    <w:autoRedefine/>
    <w:rsid w:val="00CA7B46"/>
    <w:pPr>
      <w:tabs>
        <w:tab w:val="center" w:pos="4536"/>
        <w:tab w:val="right" w:pos="9072"/>
      </w:tabs>
      <w:spacing w:after="0"/>
    </w:pPr>
    <w:rPr>
      <w:sz w:val="16"/>
      <w:szCs w:val="16"/>
    </w:rPr>
  </w:style>
  <w:style w:type="paragraph" w:styleId="Footer">
    <w:name w:val="footer"/>
    <w:basedOn w:val="Normal"/>
    <w:link w:val="FuzeileZchn"/>
    <w:rsid w:val="001B32A6"/>
    <w:pPr>
      <w:tabs>
        <w:tab w:val="center" w:pos="4536"/>
        <w:tab w:val="left" w:pos="5643"/>
        <w:tab w:val="left" w:pos="7182"/>
        <w:tab w:val="right" w:pos="8820"/>
      </w:tabs>
      <w:spacing w:after="60"/>
      <w:ind w:right="-79"/>
    </w:pPr>
    <w:rPr>
      <w:sz w:val="14"/>
      <w:szCs w:val="14"/>
    </w:rPr>
  </w:style>
  <w:style w:type="table" w:styleId="TableGrid">
    <w:name w:val="Table Grid"/>
    <w:basedOn w:val="TableNormal"/>
    <w:rsid w:val="00CA7B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1">
    <w:name w:val="Titel1"/>
    <w:basedOn w:val="Normal"/>
    <w:rsid w:val="00CA7B46"/>
    <w:rPr>
      <w:b/>
      <w:sz w:val="32"/>
      <w:u w:val="single"/>
    </w:rPr>
  </w:style>
  <w:style w:type="paragraph" w:customStyle="1" w:styleId="Kurzberschrift">
    <w:name w:val="Kurzüberschrift"/>
    <w:basedOn w:val="Normal"/>
    <w:rsid w:val="00CA7B46"/>
    <w:pPr>
      <w:spacing w:after="60"/>
    </w:pPr>
    <w:rPr>
      <w:b/>
      <w:szCs w:val="20"/>
    </w:rPr>
  </w:style>
  <w:style w:type="paragraph" w:customStyle="1" w:styleId="Tabzeile">
    <w:name w:val="Tabzeile"/>
    <w:basedOn w:val="Normal"/>
    <w:link w:val="TabzeileZchn"/>
    <w:rsid w:val="00CA7B46"/>
    <w:pPr>
      <w:spacing w:before="60" w:after="60"/>
    </w:pPr>
    <w:rPr>
      <w:szCs w:val="20"/>
    </w:rPr>
  </w:style>
  <w:style w:type="paragraph" w:customStyle="1" w:styleId="gem1">
    <w:name w:val="gem_Ü1"/>
    <w:basedOn w:val="Heading1"/>
    <w:next w:val="gemStandard"/>
    <w:rsid w:val="00E660F1"/>
    <w:pPr>
      <w:numPr>
        <w:numId w:val="2"/>
      </w:numPr>
      <w:ind w:left="431" w:hanging="431"/>
    </w:pPr>
    <w:rPr>
      <w:spacing w:val="20"/>
      <w:kern w:val="16"/>
      <w:szCs w:val="28"/>
    </w:rPr>
  </w:style>
  <w:style w:type="paragraph" w:customStyle="1" w:styleId="gemTitel1">
    <w:name w:val="gem_Titel1"/>
    <w:basedOn w:val="Normal"/>
    <w:link w:val="gemTitel1Char"/>
    <w:rsid w:val="001B32A6"/>
    <w:rPr>
      <w:b/>
      <w:sz w:val="32"/>
      <w:u w:val="single"/>
    </w:rPr>
  </w:style>
  <w:style w:type="paragraph" w:customStyle="1" w:styleId="gemTitel2">
    <w:name w:val="gem_Titel2"/>
    <w:basedOn w:val="Normal"/>
    <w:rsid w:val="00E634C8"/>
    <w:pPr>
      <w:spacing w:before="720"/>
      <w:jc w:val="center"/>
    </w:pPr>
    <w:rPr>
      <w:b/>
      <w:spacing w:val="40"/>
      <w:kern w:val="16"/>
      <w:sz w:val="56"/>
      <w:szCs w:val="56"/>
    </w:rPr>
  </w:style>
  <w:style w:type="paragraph" w:customStyle="1" w:styleId="gem2">
    <w:name w:val="gem_Ü2"/>
    <w:basedOn w:val="Heading2"/>
    <w:next w:val="gemStandard"/>
    <w:link w:val="gem2Zchn"/>
    <w:rsid w:val="00DC533B"/>
    <w:pPr>
      <w:numPr>
        <w:numId w:val="2"/>
      </w:numPr>
      <w:tabs>
        <w:tab w:val="clear" w:pos="576"/>
      </w:tabs>
      <w:ind w:left="578" w:hanging="578"/>
    </w:pPr>
    <w:rPr>
      <w:szCs w:val="24"/>
    </w:rPr>
  </w:style>
  <w:style w:type="character" w:customStyle="1" w:styleId="gemTitel1Char">
    <w:name w:val="gem_Titel1 Char"/>
    <w:link w:val="gemTitel1"/>
    <w:rsid w:val="001B32A6"/>
    <w:rPr>
      <w:rFonts w:ascii="Verdana" w:eastAsia="MS Mincho" w:hAnsi="Verdana"/>
      <w:b/>
      <w:sz w:val="32"/>
      <w:szCs w:val="24"/>
      <w:u w:val="single"/>
    </w:rPr>
  </w:style>
  <w:style w:type="paragraph" w:customStyle="1" w:styleId="gemStandard">
    <w:name w:val="gem_Standard"/>
    <w:basedOn w:val="Normal"/>
    <w:link w:val="gemStandardZchn"/>
    <w:rsid w:val="00ED1F99"/>
    <w:pPr>
      <w:spacing w:before="180" w:after="60"/>
    </w:pPr>
  </w:style>
  <w:style w:type="paragraph" w:customStyle="1" w:styleId="gemnonum1">
    <w:name w:val="gem_nonum_Ü1"/>
    <w:basedOn w:val="Heading1"/>
    <w:next w:val="gemStandard"/>
    <w:rsid w:val="004745A5"/>
    <w:pPr>
      <w:numPr>
        <w:numId w:val="0"/>
      </w:numPr>
    </w:pPr>
    <w:rPr>
      <w:bCs/>
      <w:szCs w:val="28"/>
    </w:rPr>
  </w:style>
  <w:style w:type="paragraph" w:customStyle="1" w:styleId="gemnonum2">
    <w:name w:val="gem_nonum_Ü2"/>
    <w:basedOn w:val="gem2"/>
    <w:next w:val="gemStandard"/>
    <w:rsid w:val="00CA7B46"/>
    <w:pPr>
      <w:numPr>
        <w:ilvl w:val="0"/>
        <w:numId w:val="0"/>
      </w:numPr>
    </w:pPr>
  </w:style>
  <w:style w:type="paragraph" w:customStyle="1" w:styleId="gemAufzhlung">
    <w:name w:val="gem_Aufzählung"/>
    <w:basedOn w:val="gemStandard"/>
    <w:link w:val="gemAufzhlungZchn"/>
    <w:rsid w:val="00732991"/>
    <w:pPr>
      <w:numPr>
        <w:numId w:val="4"/>
      </w:numPr>
      <w:tabs>
        <w:tab w:val="left" w:pos="1134"/>
        <w:tab w:val="clear" w:pos="1903"/>
      </w:tabs>
      <w:ind w:left="1135" w:hanging="284"/>
    </w:pPr>
  </w:style>
  <w:style w:type="character" w:styleId="PageNumber">
    <w:name w:val="page number"/>
    <w:rsid w:val="00CA7B46"/>
    <w:rPr>
      <w:sz w:val="24"/>
    </w:rPr>
  </w:style>
  <w:style w:type="paragraph" w:customStyle="1" w:styleId="gemtab11ptAbstand">
    <w:name w:val="gem_tab_11pt_Abstand"/>
    <w:basedOn w:val="Tabzeile"/>
    <w:link w:val="gemtab11ptAbstandZchn"/>
    <w:rsid w:val="00BC6036"/>
  </w:style>
  <w:style w:type="paragraph" w:customStyle="1" w:styleId="gemTitelKopf">
    <w:name w:val="gem_Titel_Kopf"/>
    <w:basedOn w:val="gemTitel2"/>
    <w:rsid w:val="001B32A6"/>
    <w:pPr>
      <w:spacing w:before="0"/>
      <w:jc w:val="left"/>
    </w:pPr>
    <w:rPr>
      <w:spacing w:val="0"/>
      <w:kern w:val="0"/>
      <w:sz w:val="24"/>
      <w:szCs w:val="24"/>
    </w:rPr>
  </w:style>
  <w:style w:type="paragraph" w:customStyle="1" w:styleId="gemEinzug">
    <w:name w:val="gem_Einzug"/>
    <w:basedOn w:val="gemStandard"/>
    <w:link w:val="gemEinzugZchn"/>
    <w:rsid w:val="00866802"/>
    <w:pPr>
      <w:ind w:left="567"/>
    </w:pPr>
  </w:style>
  <w:style w:type="paragraph" w:customStyle="1" w:styleId="gemListe">
    <w:name w:val="gem_Liste"/>
    <w:basedOn w:val="gemStandard"/>
    <w:rsid w:val="006E5816"/>
    <w:pPr>
      <w:numPr>
        <w:numId w:val="1"/>
      </w:numPr>
    </w:pPr>
  </w:style>
  <w:style w:type="character" w:customStyle="1" w:styleId="gemEinzugZchn">
    <w:name w:val="gem_Einzug Zchn"/>
    <w:link w:val="gemEinzug"/>
    <w:rsid w:val="00866802"/>
    <w:rPr>
      <w:rFonts w:ascii="Arial" w:eastAsia="MS Mincho" w:hAnsi="Arial"/>
      <w:sz w:val="22"/>
      <w:szCs w:val="24"/>
      <w:lang w:val="de-DE" w:eastAsia="de-DE" w:bidi="ar-SA"/>
    </w:rPr>
  </w:style>
  <w:style w:type="paragraph" w:styleId="BodyText">
    <w:name w:val="Body Text"/>
    <w:basedOn w:val="Normal"/>
    <w:rsid w:val="001B32A6"/>
    <w:pPr>
      <w:spacing w:after="0"/>
    </w:pPr>
    <w:rPr>
      <w:rFonts w:eastAsia="Times New Roman"/>
      <w:szCs w:val="20"/>
      <w:lang w:val="en-US" w:eastAsia="en-US"/>
    </w:rPr>
  </w:style>
  <w:style w:type="paragraph" w:customStyle="1" w:styleId="Text">
    <w:name w:val="Text"/>
    <w:basedOn w:val="Normal"/>
    <w:rsid w:val="00FC1CA0"/>
    <w:pPr>
      <w:spacing w:before="120" w:after="0" w:line="240" w:lineRule="atLeast"/>
    </w:pPr>
    <w:rPr>
      <w:rFonts w:eastAsia="Times New Roman"/>
      <w:szCs w:val="20"/>
      <w:lang w:eastAsia="en-US"/>
    </w:rPr>
  </w:style>
  <w:style w:type="paragraph" w:customStyle="1" w:styleId="gemStandardohne">
    <w:name w:val="gem_Standard_ohne"/>
    <w:basedOn w:val="gemStandard"/>
    <w:rsid w:val="00692347"/>
    <w:pPr>
      <w:spacing w:before="0" w:after="0"/>
    </w:pPr>
  </w:style>
  <w:style w:type="paragraph" w:customStyle="1" w:styleId="gemStd10pt">
    <w:name w:val="gem_Std_10pt"/>
    <w:basedOn w:val="gemStandard"/>
    <w:rsid w:val="00692347"/>
    <w:pPr>
      <w:spacing w:before="0" w:after="0"/>
    </w:pPr>
  </w:style>
  <w:style w:type="paragraph" w:customStyle="1" w:styleId="gemTab10pt">
    <w:name w:val="gem_Tab_10pt"/>
    <w:basedOn w:val="gemStandard"/>
    <w:rsid w:val="00692347"/>
    <w:pPr>
      <w:spacing w:before="0" w:after="0"/>
    </w:pPr>
  </w:style>
  <w:style w:type="paragraph" w:customStyle="1" w:styleId="Individualtext">
    <w:name w:val="Individualtext"/>
    <w:basedOn w:val="Normal"/>
    <w:rsid w:val="001B32A6"/>
    <w:pPr>
      <w:tabs>
        <w:tab w:val="left" w:pos="2013"/>
        <w:tab w:val="left" w:pos="2296"/>
        <w:tab w:val="left" w:pos="2580"/>
        <w:tab w:val="left" w:pos="2863"/>
        <w:tab w:val="left" w:pos="3147"/>
        <w:tab w:val="left" w:pos="3430"/>
        <w:tab w:val="left" w:pos="3714"/>
        <w:tab w:val="left" w:pos="3997"/>
        <w:tab w:val="left" w:pos="4281"/>
        <w:tab w:val="left" w:pos="4564"/>
        <w:tab w:val="left" w:pos="4848"/>
        <w:tab w:val="left" w:pos="5131"/>
        <w:tab w:val="left" w:pos="5415"/>
        <w:tab w:val="left" w:pos="5698"/>
        <w:tab w:val="left" w:pos="5982"/>
      </w:tabs>
      <w:spacing w:before="255" w:after="0" w:line="255" w:lineRule="exact"/>
      <w:ind w:left="1729"/>
    </w:pPr>
    <w:rPr>
      <w:rFonts w:eastAsia="Times New Roman"/>
      <w:szCs w:val="20"/>
      <w:lang w:eastAsia="en-US"/>
    </w:rPr>
  </w:style>
  <w:style w:type="paragraph" w:styleId="ListBullet">
    <w:name w:val="List Bullet"/>
    <w:basedOn w:val="Normal"/>
    <w:autoRedefine/>
    <w:rsid w:val="001B32A6"/>
    <w:pPr>
      <w:tabs>
        <w:tab w:val="num" w:pos="360"/>
        <w:tab w:val="left" w:pos="2835"/>
        <w:tab w:val="left" w:pos="3544"/>
        <w:tab w:val="left" w:pos="4253"/>
      </w:tabs>
      <w:overflowPunct w:val="0"/>
      <w:autoSpaceDE w:val="0"/>
      <w:autoSpaceDN w:val="0"/>
      <w:adjustRightInd w:val="0"/>
      <w:spacing w:after="60" w:line="288" w:lineRule="auto"/>
      <w:ind w:left="360" w:hanging="360"/>
      <w:textAlignment w:val="baseline"/>
    </w:pPr>
    <w:rPr>
      <w:rFonts w:eastAsia="Times New Roman"/>
      <w:szCs w:val="20"/>
    </w:rPr>
  </w:style>
  <w:style w:type="character" w:styleId="CommentReference">
    <w:name w:val="annotation reference"/>
    <w:semiHidden/>
    <w:rsid w:val="00920935"/>
    <w:rPr>
      <w:sz w:val="16"/>
      <w:szCs w:val="16"/>
    </w:rPr>
  </w:style>
  <w:style w:type="paragraph" w:styleId="CommentText">
    <w:name w:val="annotation text"/>
    <w:basedOn w:val="Normal"/>
    <w:link w:val="KommentartextZchn"/>
    <w:rsid w:val="00920935"/>
    <w:rPr>
      <w:szCs w:val="20"/>
    </w:rPr>
  </w:style>
  <w:style w:type="paragraph" w:styleId="CommentSubject">
    <w:name w:val="annotation subject"/>
    <w:basedOn w:val="CommentText"/>
    <w:next w:val="CommentText"/>
    <w:semiHidden/>
    <w:rsid w:val="00920935"/>
    <w:rPr>
      <w:b/>
      <w:bCs/>
    </w:rPr>
  </w:style>
  <w:style w:type="paragraph" w:styleId="BalloonText">
    <w:name w:val="Balloon Text"/>
    <w:basedOn w:val="Normal"/>
    <w:semiHidden/>
    <w:rsid w:val="001B32A6"/>
    <w:rPr>
      <w:rFonts w:cs="Tahoma"/>
      <w:sz w:val="16"/>
      <w:szCs w:val="16"/>
    </w:rPr>
  </w:style>
  <w:style w:type="paragraph" w:styleId="TableofFigures">
    <w:name w:val="table of figures"/>
    <w:basedOn w:val="Normal"/>
    <w:next w:val="Normal"/>
    <w:uiPriority w:val="99"/>
    <w:rsid w:val="00BC6036"/>
    <w:pPr>
      <w:ind w:left="440" w:hanging="440"/>
    </w:pPr>
  </w:style>
  <w:style w:type="character" w:styleId="LineNumber">
    <w:name w:val="line number"/>
    <w:basedOn w:val="DefaultParagraphFont"/>
    <w:rsid w:val="001B32A6"/>
    <w:rPr>
      <w:rFonts w:ascii="Verdana" w:hAnsi="Verdana"/>
    </w:rPr>
  </w:style>
  <w:style w:type="paragraph" w:styleId="TOC5">
    <w:name w:val="toc 5"/>
    <w:basedOn w:val="Normal"/>
    <w:next w:val="Normal"/>
    <w:autoRedefine/>
    <w:uiPriority w:val="39"/>
    <w:rsid w:val="00925018"/>
    <w:pPr>
      <w:ind w:left="880"/>
    </w:pPr>
  </w:style>
  <w:style w:type="paragraph" w:customStyle="1" w:styleId="gemTab9pt">
    <w:name w:val="gem_Tab_9pt"/>
    <w:basedOn w:val="gemStandard"/>
    <w:rsid w:val="00692347"/>
    <w:pPr>
      <w:spacing w:before="0" w:after="0"/>
    </w:pPr>
    <w:rPr>
      <w:sz w:val="18"/>
    </w:rPr>
  </w:style>
  <w:style w:type="paragraph" w:customStyle="1" w:styleId="gemnonum3">
    <w:name w:val="gem_nonum_Ü3"/>
    <w:basedOn w:val="gem3"/>
    <w:next w:val="gemStandard"/>
    <w:rsid w:val="0001219C"/>
    <w:pPr>
      <w:numPr>
        <w:ilvl w:val="0"/>
        <w:numId w:val="0"/>
      </w:numPr>
    </w:pPr>
  </w:style>
  <w:style w:type="paragraph" w:customStyle="1" w:styleId="gemZwischenberschrift">
    <w:name w:val="gem_Zwischenüberschrift"/>
    <w:basedOn w:val="gemStandard"/>
    <w:link w:val="gemZwischenberschriftChar"/>
    <w:rsid w:val="00D007F4"/>
    <w:pPr>
      <w:numPr>
        <w:numId w:val="3"/>
      </w:numPr>
      <w:spacing w:before="480" w:after="240"/>
      <w:ind w:left="811" w:hanging="454"/>
    </w:pPr>
    <w:rPr>
      <w:b/>
      <w:szCs w:val="22"/>
    </w:rPr>
  </w:style>
  <w:style w:type="character" w:customStyle="1" w:styleId="gemStandardfettZchn">
    <w:name w:val="gem_Standard_fett Zchn"/>
    <w:link w:val="gemStandardfett"/>
    <w:rsid w:val="00825694"/>
    <w:rPr>
      <w:rFonts w:ascii="Arial" w:eastAsia="MS Mincho" w:hAnsi="Arial"/>
      <w:b/>
      <w:sz w:val="22"/>
      <w:szCs w:val="24"/>
      <w:lang w:val="de-DE" w:eastAsia="de-DE" w:bidi="ar-SA"/>
    </w:rPr>
  </w:style>
  <w:style w:type="paragraph" w:customStyle="1" w:styleId="gemAufzhlgKursiv10">
    <w:name w:val="gem Aufzählg + Kursiv 10"/>
    <w:basedOn w:val="gemAufzhlung"/>
    <w:semiHidden/>
    <w:rsid w:val="00094ADC"/>
    <w:pPr>
      <w:numPr>
        <w:numId w:val="0"/>
      </w:numPr>
      <w:spacing w:before="60"/>
    </w:pPr>
    <w:rPr>
      <w:i/>
      <w:iCs/>
    </w:rPr>
  </w:style>
  <w:style w:type="paragraph" w:customStyle="1" w:styleId="gemListing">
    <w:name w:val="gem_Listing"/>
    <w:basedOn w:val="gemStandard"/>
    <w:rsid w:val="004A113B"/>
    <w:pPr>
      <w:spacing w:before="0" w:after="0"/>
    </w:pPr>
    <w:rPr>
      <w:rFonts w:ascii="Courier New" w:hAnsi="Courier New"/>
      <w:sz w:val="18"/>
      <w:szCs w:val="18"/>
    </w:rPr>
  </w:style>
  <w:style w:type="paragraph" w:customStyle="1" w:styleId="gemListingBegin">
    <w:name w:val="gem_Listing_Begin"/>
    <w:basedOn w:val="gemListing"/>
    <w:rsid w:val="004A113B"/>
    <w:pPr>
      <w:keepNext/>
      <w:spacing w:before="240"/>
    </w:pPr>
  </w:style>
  <w:style w:type="paragraph" w:customStyle="1" w:styleId="gemListingEnd">
    <w:name w:val="gem_Listing_End"/>
    <w:basedOn w:val="gemListing"/>
    <w:rsid w:val="004A113B"/>
    <w:pPr>
      <w:spacing w:after="240"/>
    </w:pPr>
  </w:style>
  <w:style w:type="paragraph" w:customStyle="1" w:styleId="gemVerz1">
    <w:name w:val="gem_Verz1"/>
    <w:basedOn w:val="TOC1"/>
    <w:rsid w:val="00934805"/>
    <w:pPr>
      <w:tabs>
        <w:tab w:val="right" w:leader="dot" w:pos="8726"/>
      </w:tabs>
    </w:pPr>
    <w:rPr>
      <w:noProof/>
    </w:rPr>
  </w:style>
  <w:style w:type="paragraph" w:customStyle="1" w:styleId="gemVerz2">
    <w:name w:val="gem_Verz2"/>
    <w:basedOn w:val="TOC2"/>
    <w:rsid w:val="00934805"/>
    <w:pPr>
      <w:tabs>
        <w:tab w:val="left" w:pos="880"/>
        <w:tab w:val="right" w:leader="dot" w:pos="8726"/>
      </w:tabs>
    </w:pPr>
    <w:rPr>
      <w:noProof/>
    </w:rPr>
  </w:style>
  <w:style w:type="paragraph" w:customStyle="1" w:styleId="gemVerz3">
    <w:name w:val="gem_Verz3"/>
    <w:basedOn w:val="TOC3"/>
    <w:rsid w:val="00934805"/>
    <w:pPr>
      <w:tabs>
        <w:tab w:val="left" w:pos="1200"/>
        <w:tab w:val="right" w:leader="dot" w:pos="8726"/>
      </w:tabs>
    </w:pPr>
    <w:rPr>
      <w:noProof/>
    </w:rPr>
  </w:style>
  <w:style w:type="paragraph" w:customStyle="1" w:styleId="gemVerz4">
    <w:name w:val="gem_Verz4"/>
    <w:basedOn w:val="TOC4"/>
    <w:rsid w:val="00934805"/>
    <w:pPr>
      <w:tabs>
        <w:tab w:val="left" w:pos="1680"/>
        <w:tab w:val="right" w:leader="dot" w:pos="8726"/>
      </w:tabs>
    </w:pPr>
    <w:rPr>
      <w:noProof/>
    </w:rPr>
  </w:style>
  <w:style w:type="paragraph" w:customStyle="1" w:styleId="gemVerz5">
    <w:name w:val="gem_Verz5"/>
    <w:basedOn w:val="TOC5"/>
    <w:rsid w:val="00934805"/>
    <w:pPr>
      <w:tabs>
        <w:tab w:val="left" w:pos="1976"/>
        <w:tab w:val="right" w:leader="dot" w:pos="8726"/>
      </w:tabs>
    </w:pPr>
    <w:rPr>
      <w:noProof/>
    </w:rPr>
  </w:style>
  <w:style w:type="paragraph" w:customStyle="1" w:styleId="gemBeschriftung">
    <w:name w:val="gem_Beschriftung"/>
    <w:basedOn w:val="Normal"/>
    <w:link w:val="gemBeschriftungZchn"/>
    <w:rsid w:val="001B32A6"/>
    <w:pPr>
      <w:spacing w:before="120"/>
    </w:pPr>
    <w:rPr>
      <w:b/>
      <w:bCs/>
      <w:sz w:val="16"/>
      <w:szCs w:val="20"/>
    </w:rPr>
  </w:style>
  <w:style w:type="paragraph" w:customStyle="1" w:styleId="gemStandardfett">
    <w:name w:val="gem_Standard_fett"/>
    <w:basedOn w:val="gemStandard"/>
    <w:next w:val="gemStandard"/>
    <w:link w:val="gemStandardfettZchn"/>
    <w:rsid w:val="00934805"/>
    <w:rPr>
      <w:b/>
    </w:rPr>
  </w:style>
  <w:style w:type="paragraph" w:customStyle="1" w:styleId="gemAnmerkung">
    <w:name w:val="gem_Anmerkung"/>
    <w:basedOn w:val="gemStandard"/>
    <w:link w:val="gemAnmerkungZchn"/>
    <w:rsid w:val="00934805"/>
    <w:rPr>
      <w:i/>
    </w:rPr>
  </w:style>
  <w:style w:type="paragraph" w:customStyle="1" w:styleId="gemAnmerkungListe">
    <w:name w:val="gem_Anmerkung_Liste"/>
    <w:basedOn w:val="gemListe"/>
    <w:rsid w:val="00934805"/>
    <w:pPr>
      <w:spacing w:before="60" w:after="0"/>
    </w:pPr>
    <w:rPr>
      <w:i/>
    </w:rPr>
  </w:style>
  <w:style w:type="paragraph" w:customStyle="1" w:styleId="gemAGG1Table">
    <w:name w:val="gem_AGG1_Table"/>
    <w:basedOn w:val="gemStandard"/>
    <w:semiHidden/>
    <w:rsid w:val="00B75C9F"/>
    <w:pPr>
      <w:autoSpaceDE w:val="0"/>
      <w:autoSpaceDN w:val="0"/>
      <w:adjustRightInd w:val="0"/>
      <w:spacing w:before="0" w:after="0"/>
    </w:pPr>
    <w:rPr>
      <w:sz w:val="16"/>
    </w:rPr>
  </w:style>
  <w:style w:type="character" w:customStyle="1" w:styleId="gemStandardZchn">
    <w:name w:val="gem_Standard Zchn"/>
    <w:link w:val="gemStandard"/>
    <w:rsid w:val="00ED1F99"/>
    <w:rPr>
      <w:rFonts w:ascii="Arial" w:eastAsia="MS Mincho" w:hAnsi="Arial"/>
      <w:sz w:val="22"/>
      <w:szCs w:val="24"/>
      <w:lang w:val="de-DE" w:eastAsia="de-DE" w:bidi="ar-SA"/>
    </w:rPr>
  </w:style>
  <w:style w:type="character" w:customStyle="1" w:styleId="gem4Zchn">
    <w:name w:val="gem_Ü4 Zchn"/>
    <w:link w:val="gem4"/>
    <w:rsid w:val="001B32A6"/>
    <w:rPr>
      <w:rFonts w:ascii="Verdana" w:hAnsi="Verdana"/>
      <w:b/>
      <w:bCs/>
      <w:iCs/>
      <w:lang w:eastAsia="en-US"/>
    </w:rPr>
  </w:style>
  <w:style w:type="paragraph" w:customStyle="1" w:styleId="TBD">
    <w:name w:val="TBD"/>
    <w:basedOn w:val="Normal"/>
    <w:next w:val="Normal"/>
    <w:rsid w:val="00936850"/>
    <w:pPr>
      <w:pBdr>
        <w:top w:val="dashSmallGap" w:sz="8" w:space="1" w:color="auto"/>
        <w:left w:val="dashSmallGap" w:sz="8" w:space="4" w:color="auto"/>
        <w:bottom w:val="dashSmallGap" w:sz="8" w:space="1" w:color="auto"/>
        <w:right w:val="dashSmallGap" w:sz="8" w:space="4" w:color="auto"/>
      </w:pBdr>
      <w:shd w:val="clear" w:color="auto" w:fill="FFFF99"/>
      <w:spacing w:after="0"/>
    </w:pPr>
    <w:rPr>
      <w:rFonts w:eastAsia="Times New Roman"/>
      <w:i/>
      <w:color w:val="3333FF"/>
      <w:sz w:val="18"/>
      <w:szCs w:val="20"/>
      <w:lang w:eastAsia="en-US"/>
    </w:rPr>
  </w:style>
  <w:style w:type="paragraph" w:customStyle="1" w:styleId="gemtabohne">
    <w:name w:val="gem_tab_ohne"/>
    <w:basedOn w:val="Tabzeile"/>
    <w:link w:val="gemtabohneZchn"/>
    <w:rsid w:val="00C94778"/>
    <w:rPr>
      <w:rFonts w:eastAsia="Times New Roman" w:cs="Arial"/>
      <w:bCs/>
    </w:rPr>
  </w:style>
  <w:style w:type="character" w:customStyle="1" w:styleId="gemtabohneZchn">
    <w:name w:val="gem_tab_ohne Zchn"/>
    <w:link w:val="gemtabohne"/>
    <w:rsid w:val="00C94778"/>
    <w:rPr>
      <w:rFonts w:ascii="Arial" w:hAnsi="Arial" w:cs="Arial"/>
      <w:bCs/>
      <w:sz w:val="22"/>
      <w:lang w:val="de-DE" w:eastAsia="de-DE" w:bidi="ar-SA"/>
    </w:rPr>
  </w:style>
  <w:style w:type="paragraph" w:styleId="DocumentMap">
    <w:name w:val="Document Map"/>
    <w:basedOn w:val="Normal"/>
    <w:semiHidden/>
    <w:rsid w:val="001B32A6"/>
    <w:pPr>
      <w:shd w:val="clear" w:color="auto" w:fill="000080"/>
    </w:pPr>
    <w:rPr>
      <w:rFonts w:cs="Tahoma"/>
      <w:szCs w:val="20"/>
    </w:rPr>
  </w:style>
  <w:style w:type="character" w:customStyle="1" w:styleId="gemAufzhlungZchn">
    <w:name w:val="gem_Aufzählung Zchn"/>
    <w:link w:val="gemAufzhlung"/>
    <w:rsid w:val="00732991"/>
    <w:rPr>
      <w:rFonts w:ascii="Verdana" w:eastAsia="MS Mincho" w:hAnsi="Verdana"/>
      <w:szCs w:val="24"/>
    </w:rPr>
  </w:style>
  <w:style w:type="paragraph" w:customStyle="1" w:styleId="Gliederung">
    <w:name w:val="Gliederung"/>
    <w:rsid w:val="0098496E"/>
    <w:pPr>
      <w:spacing w:before="240" w:after="120"/>
    </w:pPr>
  </w:style>
  <w:style w:type="paragraph" w:customStyle="1" w:styleId="gemtab9pt0">
    <w:name w:val="gemtab9pt"/>
    <w:basedOn w:val="Normal"/>
    <w:rsid w:val="001B32A6"/>
    <w:pPr>
      <w:spacing w:before="100" w:beforeAutospacing="1" w:after="100" w:afterAutospacing="1"/>
    </w:pPr>
    <w:rPr>
      <w:rFonts w:eastAsia="Times New Roman"/>
      <w:sz w:val="24"/>
    </w:rPr>
  </w:style>
  <w:style w:type="paragraph" w:customStyle="1" w:styleId="Abbildungstext">
    <w:name w:val="Abbildungstext"/>
    <w:basedOn w:val="Normal"/>
    <w:rsid w:val="0098496E"/>
    <w:pPr>
      <w:keepNext/>
      <w:keepLines/>
      <w:tabs>
        <w:tab w:val="left" w:pos="1889"/>
        <w:tab w:val="right" w:leader="dot" w:pos="9526"/>
      </w:tabs>
      <w:spacing w:before="240" w:after="240"/>
      <w:ind w:left="403" w:hanging="403"/>
      <w:jc w:val="center"/>
    </w:pPr>
    <w:rPr>
      <w:rFonts w:eastAsia="Times New Roman"/>
      <w:bCs/>
      <w:i/>
      <w:sz w:val="18"/>
      <w:szCs w:val="20"/>
    </w:rPr>
  </w:style>
  <w:style w:type="character" w:styleId="FootnoteReference">
    <w:name w:val="footnote reference"/>
    <w:semiHidden/>
    <w:rsid w:val="001B32A6"/>
    <w:rPr>
      <w:rFonts w:ascii="Verdana" w:hAnsi="Verdana"/>
      <w:position w:val="6"/>
      <w:sz w:val="16"/>
    </w:rPr>
  </w:style>
  <w:style w:type="paragraph" w:styleId="FootnoteText">
    <w:name w:val="footnote text"/>
    <w:basedOn w:val="Normal"/>
    <w:semiHidden/>
    <w:rsid w:val="0098496E"/>
    <w:pPr>
      <w:keepNext/>
      <w:keepLines/>
      <w:tabs>
        <w:tab w:val="left" w:pos="1889"/>
      </w:tabs>
      <w:spacing w:before="120" w:after="0"/>
    </w:pPr>
    <w:rPr>
      <w:rFonts w:eastAsia="Times New Roman"/>
      <w:szCs w:val="20"/>
    </w:rPr>
  </w:style>
  <w:style w:type="paragraph" w:customStyle="1" w:styleId="tabelle">
    <w:name w:val="tabelle"/>
    <w:basedOn w:val="Normal"/>
    <w:next w:val="Normal"/>
    <w:rsid w:val="0098496E"/>
    <w:pPr>
      <w:keepNext/>
      <w:keepLines/>
      <w:overflowPunct w:val="0"/>
      <w:autoSpaceDE w:val="0"/>
      <w:autoSpaceDN w:val="0"/>
      <w:adjustRightInd w:val="0"/>
      <w:spacing w:after="100"/>
      <w:textAlignment w:val="baseline"/>
    </w:pPr>
    <w:rPr>
      <w:rFonts w:eastAsia="Times New Roman"/>
      <w:szCs w:val="20"/>
    </w:rPr>
  </w:style>
  <w:style w:type="paragraph" w:customStyle="1" w:styleId="gemHidden">
    <w:name w:val="gem_Hidden"/>
    <w:basedOn w:val="gemAnmerkung"/>
    <w:link w:val="gemHiddenZchn"/>
    <w:rsid w:val="0024429D"/>
    <w:pPr>
      <w:spacing w:before="120" w:after="0"/>
    </w:pPr>
    <w:rPr>
      <w:vanish/>
      <w:color w:val="0000FF"/>
    </w:rPr>
  </w:style>
  <w:style w:type="character" w:styleId="Strong">
    <w:name w:val="Strong"/>
    <w:qFormat/>
    <w:rsid w:val="001B32A6"/>
    <w:rPr>
      <w:rFonts w:ascii="Verdana" w:hAnsi="Verdana"/>
      <w:b/>
      <w:bCs/>
    </w:rPr>
  </w:style>
  <w:style w:type="paragraph" w:styleId="TOC6">
    <w:name w:val="toc 6"/>
    <w:basedOn w:val="Normal"/>
    <w:next w:val="Normal"/>
    <w:autoRedefine/>
    <w:uiPriority w:val="39"/>
    <w:rsid w:val="001B32A6"/>
    <w:pPr>
      <w:keepNext/>
      <w:keepLines/>
      <w:spacing w:after="0"/>
      <w:ind w:left="1100"/>
    </w:pPr>
    <w:rPr>
      <w:sz w:val="18"/>
      <w:szCs w:val="18"/>
    </w:rPr>
  </w:style>
  <w:style w:type="paragraph" w:styleId="TOC7">
    <w:name w:val="toc 7"/>
    <w:basedOn w:val="Normal"/>
    <w:next w:val="Normal"/>
    <w:autoRedefine/>
    <w:uiPriority w:val="39"/>
    <w:rsid w:val="001B32A6"/>
    <w:pPr>
      <w:keepNext/>
      <w:keepLines/>
      <w:spacing w:after="0"/>
      <w:ind w:left="1320"/>
    </w:pPr>
    <w:rPr>
      <w:sz w:val="18"/>
      <w:szCs w:val="18"/>
    </w:rPr>
  </w:style>
  <w:style w:type="paragraph" w:styleId="TOC8">
    <w:name w:val="toc 8"/>
    <w:basedOn w:val="Normal"/>
    <w:next w:val="Normal"/>
    <w:autoRedefine/>
    <w:uiPriority w:val="39"/>
    <w:rsid w:val="001B32A6"/>
    <w:pPr>
      <w:keepNext/>
      <w:keepLines/>
      <w:spacing w:after="0"/>
      <w:ind w:left="1540"/>
    </w:pPr>
    <w:rPr>
      <w:sz w:val="18"/>
      <w:szCs w:val="18"/>
    </w:rPr>
  </w:style>
  <w:style w:type="paragraph" w:styleId="TOC9">
    <w:name w:val="toc 9"/>
    <w:basedOn w:val="Normal"/>
    <w:next w:val="Normal"/>
    <w:autoRedefine/>
    <w:uiPriority w:val="39"/>
    <w:rsid w:val="001B32A6"/>
    <w:pPr>
      <w:keepNext/>
      <w:keepLines/>
      <w:spacing w:after="0"/>
      <w:ind w:left="1760"/>
    </w:pPr>
    <w:rPr>
      <w:sz w:val="18"/>
      <w:szCs w:val="18"/>
    </w:rPr>
  </w:style>
  <w:style w:type="character" w:customStyle="1" w:styleId="gem2Zchn">
    <w:name w:val="gem_Ü2 Zchn"/>
    <w:link w:val="gem2"/>
    <w:rsid w:val="00DC533B"/>
    <w:rPr>
      <w:rFonts w:ascii="Verdana" w:hAnsi="Verdana"/>
      <w:b/>
      <w:sz w:val="26"/>
      <w:szCs w:val="24"/>
      <w:lang w:eastAsia="en-US"/>
    </w:rPr>
  </w:style>
  <w:style w:type="character" w:customStyle="1" w:styleId="BeschriftungZchn">
    <w:name w:val="Beschriftung Zchn"/>
    <w:aliases w:val="Bilder + Zentriert + Zentriert Zchn,Bilder Zchn,Bilder1 Zchn,Tabelle Zchn"/>
    <w:link w:val="Caption"/>
    <w:rsid w:val="003E256D"/>
    <w:rPr>
      <w:rFonts w:ascii="Verdana" w:eastAsia="MS Mincho" w:hAnsi="Verdana"/>
      <w:b/>
      <w:bCs/>
      <w:sz w:val="18"/>
    </w:rPr>
  </w:style>
  <w:style w:type="character" w:customStyle="1" w:styleId="gemZwischenberschriftChar">
    <w:name w:val="gem_Zwischenüberschrift Char"/>
    <w:link w:val="gemZwischenberschrift"/>
    <w:rsid w:val="0098496E"/>
    <w:rPr>
      <w:rFonts w:ascii="Verdana" w:eastAsia="MS Mincho" w:hAnsi="Verdana"/>
      <w:b/>
      <w:szCs w:val="22"/>
    </w:rPr>
  </w:style>
  <w:style w:type="paragraph" w:customStyle="1" w:styleId="gemHiddenEinzug">
    <w:name w:val="gem_Hidden_Einzug"/>
    <w:basedOn w:val="gemHidden"/>
    <w:rsid w:val="00221FD8"/>
    <w:pPr>
      <w:ind w:left="567"/>
    </w:pPr>
  </w:style>
  <w:style w:type="character" w:styleId="FollowedHyperlink">
    <w:name w:val="FollowedHyperlink"/>
    <w:rsid w:val="00C624EA"/>
    <w:rPr>
      <w:rFonts w:ascii="Verdana" w:hAnsi="Verdana"/>
      <w:color w:val="800080"/>
      <w:u w:val="single"/>
    </w:rPr>
  </w:style>
  <w:style w:type="character" w:customStyle="1" w:styleId="gemAnmerkungZchn">
    <w:name w:val="gem_Anmerkung Zchn"/>
    <w:link w:val="gemAnmerkung"/>
    <w:rsid w:val="00616829"/>
    <w:rPr>
      <w:rFonts w:ascii="Arial" w:eastAsia="MS Mincho" w:hAnsi="Arial"/>
      <w:i/>
      <w:sz w:val="22"/>
      <w:szCs w:val="24"/>
      <w:lang w:val="de-DE" w:eastAsia="de-DE" w:bidi="ar-SA"/>
    </w:rPr>
  </w:style>
  <w:style w:type="paragraph" w:customStyle="1" w:styleId="gemTabAufzhlung">
    <w:name w:val="gem_Tab_Aufzählung"/>
    <w:basedOn w:val="Normal"/>
    <w:rsid w:val="00BC6036"/>
    <w:pPr>
      <w:numPr>
        <w:numId w:val="5"/>
      </w:numPr>
      <w:spacing w:after="0"/>
    </w:pPr>
    <w:rPr>
      <w:rFonts w:eastAsia="Times New Roman" w:cs="Arial"/>
      <w:sz w:val="24"/>
    </w:rPr>
  </w:style>
  <w:style w:type="paragraph" w:styleId="PlainText">
    <w:name w:val="Plain Text"/>
    <w:basedOn w:val="Normal"/>
    <w:rsid w:val="00DE4F55"/>
    <w:pPr>
      <w:spacing w:after="0"/>
    </w:pPr>
    <w:rPr>
      <w:rFonts w:ascii="Courier New" w:eastAsia="Times New Roman" w:hAnsi="Courier New" w:cs="Courier New"/>
      <w:szCs w:val="20"/>
    </w:rPr>
  </w:style>
  <w:style w:type="character" w:customStyle="1" w:styleId="gemtab11ptAbstandZchn">
    <w:name w:val="gem_tab_11pt_Abstand Zchn"/>
    <w:link w:val="gemtab11ptAbstand"/>
    <w:rsid w:val="00BC6036"/>
    <w:rPr>
      <w:rFonts w:ascii="Arial" w:eastAsia="MS Mincho" w:hAnsi="Arial"/>
      <w:sz w:val="22"/>
      <w:lang w:val="de-DE" w:eastAsia="de-DE" w:bidi="ar-SA"/>
    </w:rPr>
  </w:style>
  <w:style w:type="character" w:customStyle="1" w:styleId="gemHiddenZchn">
    <w:name w:val="gem_Hidden Zchn"/>
    <w:link w:val="gemHidden"/>
    <w:rsid w:val="0024429D"/>
    <w:rPr>
      <w:rFonts w:ascii="Arial" w:eastAsia="MS Mincho" w:hAnsi="Arial"/>
      <w:i/>
      <w:vanish/>
      <w:color w:val="0000FF"/>
      <w:sz w:val="22"/>
      <w:szCs w:val="24"/>
      <w:lang w:val="de-DE" w:eastAsia="de-DE" w:bidi="ar-SA"/>
    </w:rPr>
  </w:style>
  <w:style w:type="paragraph" w:styleId="Caption">
    <w:name w:val="caption"/>
    <w:aliases w:val="Bilder,Bilder + Zentriert + Zentriert,Bilder1,Tabelle"/>
    <w:basedOn w:val="Normal"/>
    <w:next w:val="Normal"/>
    <w:link w:val="BeschriftungZchn"/>
    <w:qFormat/>
    <w:rsid w:val="003E256D"/>
    <w:pPr>
      <w:spacing w:before="120"/>
    </w:pPr>
    <w:rPr>
      <w:b/>
      <w:bCs/>
      <w:sz w:val="18"/>
      <w:szCs w:val="20"/>
    </w:rPr>
  </w:style>
  <w:style w:type="table" w:styleId="TableProfessional">
    <w:name w:val="Table Professional"/>
    <w:basedOn w:val="TableNormal"/>
    <w:rsid w:val="007D0F4E"/>
    <w:pPr>
      <w:spacing w:after="12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gemBeschriftungZchn">
    <w:name w:val="gem_Beschriftung Zchn"/>
    <w:link w:val="gemBeschriftung"/>
    <w:rsid w:val="001B32A6"/>
    <w:rPr>
      <w:rFonts w:ascii="Verdana" w:eastAsia="MS Mincho" w:hAnsi="Verdana"/>
      <w:b/>
      <w:bCs/>
      <w:sz w:val="16"/>
    </w:rPr>
  </w:style>
  <w:style w:type="character" w:customStyle="1" w:styleId="TabzeileZchn">
    <w:name w:val="Tabzeile Zchn"/>
    <w:link w:val="Tabzeile"/>
    <w:rsid w:val="0091433C"/>
    <w:rPr>
      <w:rFonts w:ascii="Arial" w:eastAsia="MS Mincho" w:hAnsi="Arial"/>
      <w:sz w:val="22"/>
      <w:lang w:val="de-DE" w:eastAsia="de-DE" w:bidi="ar-SA"/>
    </w:rPr>
  </w:style>
  <w:style w:type="paragraph" w:styleId="HTMLPreformatted">
    <w:name w:val="HTML Preformatted"/>
    <w:basedOn w:val="Normal"/>
    <w:rsid w:val="00994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Cs w:val="20"/>
    </w:rPr>
  </w:style>
  <w:style w:type="character" w:customStyle="1" w:styleId="h1">
    <w:name w:val="h1"/>
    <w:basedOn w:val="DefaultParagraphFont"/>
    <w:rsid w:val="001B32A6"/>
    <w:rPr>
      <w:rFonts w:ascii="Verdana" w:hAnsi="Verdana"/>
    </w:rPr>
  </w:style>
  <w:style w:type="paragraph" w:customStyle="1" w:styleId="gemstandard0">
    <w:name w:val="gemstandard"/>
    <w:basedOn w:val="Normal"/>
    <w:rsid w:val="003B2F01"/>
    <w:pPr>
      <w:spacing w:before="120" w:after="0"/>
    </w:pPr>
    <w:rPr>
      <w:rFonts w:eastAsia="Times New Roman" w:cs="Arial"/>
      <w:szCs w:val="22"/>
    </w:rPr>
  </w:style>
  <w:style w:type="character" w:customStyle="1" w:styleId="KommentartextZchn">
    <w:name w:val="Kommentartext Zchn"/>
    <w:link w:val="CommentText"/>
    <w:rsid w:val="00846CCE"/>
    <w:rPr>
      <w:rFonts w:ascii="Arial" w:eastAsia="MS Mincho" w:hAnsi="Arial"/>
    </w:rPr>
  </w:style>
  <w:style w:type="paragraph" w:styleId="Title">
    <w:name w:val="Title"/>
    <w:basedOn w:val="Normal"/>
    <w:next w:val="Normal"/>
    <w:link w:val="TitelZchn"/>
    <w:uiPriority w:val="10"/>
    <w:qFormat/>
    <w:rsid w:val="001835CC"/>
    <w:pPr>
      <w:keepNext/>
      <w:pageBreakBefore/>
      <w:pBdr>
        <w:top w:val="single" w:sz="4" w:space="10" w:color="auto"/>
        <w:bottom w:val="single" w:sz="4" w:space="10" w:color="auto"/>
      </w:pBdr>
      <w:spacing w:before="360"/>
      <w:jc w:val="center"/>
    </w:pPr>
    <w:rPr>
      <w:rFonts w:eastAsia="Times New Roman"/>
      <w:b/>
      <w:sz w:val="28"/>
      <w:szCs w:val="52"/>
      <w:lang w:eastAsia="en-US"/>
    </w:rPr>
  </w:style>
  <w:style w:type="character" w:customStyle="1" w:styleId="TitelZchn">
    <w:name w:val="Titel Zchn"/>
    <w:link w:val="Title"/>
    <w:uiPriority w:val="10"/>
    <w:rsid w:val="001835CC"/>
    <w:rPr>
      <w:rFonts w:ascii="Verdana" w:hAnsi="Verdana"/>
      <w:b/>
      <w:sz w:val="28"/>
      <w:szCs w:val="52"/>
      <w:lang w:eastAsia="en-US"/>
    </w:rPr>
  </w:style>
  <w:style w:type="character" w:customStyle="1" w:styleId="berschrift1Zchn">
    <w:name w:val="Überschrift 1 Zchn"/>
    <w:link w:val="Heading1"/>
    <w:uiPriority w:val="9"/>
    <w:rsid w:val="002D131D"/>
    <w:rPr>
      <w:rFonts w:ascii="Verdana" w:hAnsi="Verdana"/>
      <w:b/>
      <w:sz w:val="26"/>
      <w:szCs w:val="32"/>
      <w:lang w:eastAsia="en-US"/>
    </w:rPr>
  </w:style>
  <w:style w:type="character" w:customStyle="1" w:styleId="berschrift2Zchn">
    <w:name w:val="Überschrift 2 Zchn"/>
    <w:link w:val="Heading2"/>
    <w:uiPriority w:val="9"/>
    <w:rsid w:val="002D131D"/>
    <w:rPr>
      <w:rFonts w:ascii="Verdana" w:hAnsi="Verdana"/>
      <w:b/>
      <w:sz w:val="24"/>
      <w:szCs w:val="26"/>
      <w:lang w:eastAsia="en-US"/>
    </w:rPr>
  </w:style>
  <w:style w:type="character" w:customStyle="1" w:styleId="berschrift3Zchn">
    <w:name w:val="Überschrift 3 Zchn"/>
    <w:link w:val="Heading3"/>
    <w:uiPriority w:val="9"/>
    <w:rsid w:val="00B77D76"/>
    <w:rPr>
      <w:rFonts w:ascii="Verdana" w:hAnsi="Verdana"/>
      <w:b/>
      <w:sz w:val="24"/>
      <w:szCs w:val="24"/>
      <w:lang w:eastAsia="en-US"/>
    </w:rPr>
  </w:style>
  <w:style w:type="character" w:customStyle="1" w:styleId="berschrift4Zchn">
    <w:name w:val="Überschrift 4 Zchn"/>
    <w:link w:val="Heading4"/>
    <w:uiPriority w:val="9"/>
    <w:rsid w:val="002D131D"/>
    <w:rPr>
      <w:rFonts w:ascii="Verdana" w:hAnsi="Verdana"/>
      <w:b/>
      <w:iCs/>
      <w:sz w:val="22"/>
      <w:szCs w:val="24"/>
      <w:lang w:eastAsia="en-US"/>
    </w:rPr>
  </w:style>
  <w:style w:type="character" w:customStyle="1" w:styleId="berschrift5Zchn">
    <w:name w:val="Überschrift 5 Zchn"/>
    <w:link w:val="Heading5"/>
    <w:uiPriority w:val="9"/>
    <w:rsid w:val="00B77D76"/>
    <w:rPr>
      <w:rFonts w:ascii="Verdana" w:hAnsi="Verdana"/>
      <w:i/>
      <w:szCs w:val="24"/>
      <w:lang w:eastAsia="en-US"/>
    </w:rPr>
  </w:style>
  <w:style w:type="character" w:customStyle="1" w:styleId="berschrift6Zchn">
    <w:name w:val="Überschrift 6 Zchn"/>
    <w:link w:val="Heading6"/>
    <w:uiPriority w:val="9"/>
    <w:rsid w:val="00B77D76"/>
    <w:rPr>
      <w:rFonts w:ascii="Verdana" w:hAnsi="Verdana"/>
      <w:szCs w:val="24"/>
      <w:lang w:eastAsia="en-US"/>
    </w:rPr>
  </w:style>
  <w:style w:type="paragraph" w:styleId="ListParagraph">
    <w:name w:val="List Paragraph"/>
    <w:basedOn w:val="Normal"/>
    <w:uiPriority w:val="34"/>
    <w:unhideWhenUsed/>
  </w:style>
  <w:style w:type="character" w:styleId="PlaceholderText">
    <w:name w:val="Placeholder Text"/>
    <w:basedOn w:val="DefaultParagraphFont"/>
    <w:uiPriority w:val="99"/>
    <w:semiHidden/>
    <w:rsid w:val="00B90D22"/>
    <w:rPr>
      <w:color w:val="808080"/>
    </w:rPr>
  </w:style>
  <w:style w:type="character" w:customStyle="1" w:styleId="documentTitle">
    <w:name w:val="documentTitle"/>
    <w:basedOn w:val="DefaultParagraphFont"/>
    <w:uiPriority w:val="1"/>
    <w:rsid w:val="001B32A6"/>
    <w:rPr>
      <w:rFonts w:ascii="Verdana" w:hAnsi="Verdana"/>
      <w:b/>
      <w:color w:val="auto"/>
      <w:sz w:val="28"/>
    </w:rPr>
  </w:style>
  <w:style w:type="character" w:customStyle="1" w:styleId="cfVersion">
    <w:name w:val="cfVersion"/>
    <w:basedOn w:val="DefaultParagraphFont"/>
    <w:uiPriority w:val="1"/>
    <w:rsid w:val="001B32A6"/>
    <w:rPr>
      <w:rFonts w:ascii="Verdana" w:hAnsi="Verdana"/>
      <w:sz w:val="14"/>
    </w:rPr>
  </w:style>
  <w:style w:type="character" w:customStyle="1" w:styleId="cfStand">
    <w:name w:val="cfStand"/>
    <w:basedOn w:val="DefaultParagraphFont"/>
    <w:uiPriority w:val="1"/>
    <w:rsid w:val="001B32A6"/>
    <w:rPr>
      <w:rFonts w:ascii="Verdana" w:hAnsi="Verdana"/>
      <w:sz w:val="14"/>
    </w:rPr>
  </w:style>
  <w:style w:type="character" w:customStyle="1" w:styleId="cfKlassifizierung">
    <w:name w:val="cfKlassifizierung"/>
    <w:basedOn w:val="DefaultParagraphFont"/>
    <w:uiPriority w:val="1"/>
    <w:rsid w:val="001B32A6"/>
    <w:rPr>
      <w:rFonts w:ascii="Verdana" w:hAnsi="Verdana"/>
      <w:sz w:val="16"/>
    </w:rPr>
  </w:style>
  <w:style w:type="character" w:customStyle="1" w:styleId="cfResultType">
    <w:name w:val="cfResultType"/>
    <w:basedOn w:val="DefaultParagraphFont"/>
    <w:uiPriority w:val="1"/>
    <w:rsid w:val="001B32A6"/>
    <w:rPr>
      <w:rFonts w:ascii="Verdana" w:hAnsi="Verdana"/>
      <w:sz w:val="14"/>
    </w:rPr>
  </w:style>
  <w:style w:type="character" w:customStyle="1" w:styleId="cfProductTypeVersion">
    <w:name w:val="cfProductTypeVersion"/>
    <w:basedOn w:val="DefaultParagraphFont"/>
    <w:uiPriority w:val="1"/>
    <w:rsid w:val="001B32A6"/>
    <w:rPr>
      <w:rFonts w:ascii="Verdana" w:hAnsi="Verdana"/>
      <w:b/>
      <w:sz w:val="24"/>
    </w:rPr>
  </w:style>
  <w:style w:type="character" w:customStyle="1" w:styleId="FuzeileZchn">
    <w:name w:val="Fußzeile Zchn"/>
    <w:basedOn w:val="DefaultParagraphFont"/>
    <w:link w:val="Footer"/>
    <w:rsid w:val="001B32A6"/>
    <w:rPr>
      <w:rFonts w:ascii="Verdana" w:eastAsia="MS Mincho" w:hAnsi="Verdana"/>
      <w:sz w:val="14"/>
      <w:szCs w:val="14"/>
    </w:rPr>
  </w:style>
  <w:style w:type="paragraph" w:styleId="BlockText">
    <w:name w:val="Block Text"/>
    <w:basedOn w:val="Normal"/>
    <w:semiHidden/>
    <w:unhideWhenUsed/>
    <w:rsid w:val="001B32A6"/>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cstheme="minorBidi"/>
      <w:i/>
      <w:iCs/>
      <w:color w:val="4F81BD" w:themeColor="accent1"/>
    </w:rPr>
  </w:style>
  <w:style w:type="character" w:styleId="Emphasis">
    <w:name w:val="Emphasis"/>
    <w:basedOn w:val="DefaultParagraphFont"/>
    <w:qFormat/>
    <w:rsid w:val="001B32A6"/>
    <w:rPr>
      <w:rFonts w:ascii="Verdana" w:hAnsi="Verdana"/>
      <w:i/>
      <w:iCs/>
    </w:rPr>
  </w:style>
  <w:style w:type="paragraph" w:styleId="Index1">
    <w:name w:val="index 1"/>
    <w:basedOn w:val="Normal"/>
    <w:next w:val="Normal"/>
    <w:autoRedefine/>
    <w:semiHidden/>
    <w:unhideWhenUsed/>
    <w:rsid w:val="001B32A6"/>
    <w:pPr>
      <w:spacing w:after="0"/>
      <w:ind w:left="200" w:hanging="200"/>
    </w:pPr>
  </w:style>
  <w:style w:type="paragraph" w:styleId="IndexHeading">
    <w:name w:val="index heading"/>
    <w:basedOn w:val="Normal"/>
    <w:next w:val="Index1"/>
    <w:semiHidden/>
    <w:unhideWhenUsed/>
    <w:rsid w:val="001B32A6"/>
    <w:rPr>
      <w:rFonts w:eastAsiaTheme="majorEastAsia" w:cstheme="majorBidi"/>
      <w:b/>
      <w:bCs/>
    </w:rPr>
  </w:style>
  <w:style w:type="paragraph" w:styleId="TOCHeading">
    <w:name w:val="TOC Heading"/>
    <w:basedOn w:val="Heading1"/>
    <w:next w:val="Normal"/>
    <w:uiPriority w:val="39"/>
    <w:semiHidden/>
    <w:unhideWhenUsed/>
    <w:qFormat/>
    <w:rsid w:val="001B32A6"/>
    <w:pPr>
      <w:keepLines/>
      <w:pageBreakBefore w:val="0"/>
      <w:numPr>
        <w:numId w:val="0"/>
      </w:numPr>
      <w:pBdr>
        <w:top w:val="none" w:sz="0" w:space="0" w:color="auto"/>
        <w:bottom w:val="none" w:sz="0" w:space="0" w:color="auto"/>
      </w:pBdr>
      <w:spacing w:before="240" w:after="0"/>
      <w:jc w:val="left"/>
      <w:outlineLvl w:val="9"/>
    </w:pPr>
    <w:rPr>
      <w:rFonts w:eastAsiaTheme="majorEastAsia" w:cstheme="majorBidi"/>
      <w:sz w:val="32"/>
      <w:lang w:eastAsia="de-DE"/>
    </w:rPr>
  </w:style>
  <w:style w:type="character" w:styleId="IntenseEmphasis">
    <w:name w:val="Intense Emphasis"/>
    <w:basedOn w:val="DefaultParagraphFont"/>
    <w:uiPriority w:val="21"/>
    <w:qFormat/>
    <w:rsid w:val="001B32A6"/>
    <w:rPr>
      <w:rFonts w:ascii="Verdana" w:hAnsi="Verdana"/>
      <w:i/>
      <w:iCs/>
      <w:color w:val="4F81BD" w:themeColor="accent1"/>
    </w:rPr>
  </w:style>
  <w:style w:type="paragraph" w:styleId="MessageHeader">
    <w:name w:val="Message Header"/>
    <w:basedOn w:val="Normal"/>
    <w:link w:val="NachrichtenkopfZchn"/>
    <w:rsid w:val="001B32A6"/>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eastAsiaTheme="majorEastAsia" w:cstheme="majorBidi"/>
      <w:sz w:val="24"/>
    </w:rPr>
  </w:style>
  <w:style w:type="character" w:customStyle="1" w:styleId="NachrichtenkopfZchn">
    <w:name w:val="Nachrichtenkopf Zchn"/>
    <w:basedOn w:val="DefaultParagraphFont"/>
    <w:link w:val="MessageHeader"/>
    <w:rsid w:val="001B32A6"/>
    <w:rPr>
      <w:rFonts w:ascii="Verdana" w:hAnsi="Verdana" w:eastAsiaTheme="majorEastAsia" w:cstheme="majorBidi"/>
      <w:sz w:val="24"/>
      <w:szCs w:val="24"/>
      <w:shd w:val="pct20" w:color="auto" w:fill="auto"/>
    </w:rPr>
  </w:style>
  <w:style w:type="character" w:styleId="SubtleEmphasis">
    <w:name w:val="Subtle Emphasis"/>
    <w:basedOn w:val="DefaultParagraphFont"/>
    <w:uiPriority w:val="19"/>
    <w:qFormat/>
    <w:rsid w:val="001B32A6"/>
    <w:rPr>
      <w:rFonts w:ascii="Verdana" w:hAnsi="Verdana"/>
      <w:i/>
      <w:iCs/>
      <w:color w:val="404040" w:themeColor="text1" w:themeTint="BF"/>
    </w:rPr>
  </w:style>
  <w:style w:type="paragraph" w:styleId="Subtitle">
    <w:name w:val="Subtitle"/>
    <w:basedOn w:val="Normal"/>
    <w:next w:val="Normal"/>
    <w:link w:val="UntertitelZchn"/>
    <w:qFormat/>
    <w:rsid w:val="001B32A6"/>
    <w:pPr>
      <w:numPr>
        <w:ilvl w:val="1"/>
      </w:numPr>
      <w:spacing w:after="160"/>
    </w:pPr>
    <w:rPr>
      <w:rFonts w:eastAsiaTheme="minorEastAsia" w:cstheme="minorBidi"/>
      <w:color w:val="5A5A5A" w:themeColor="text1" w:themeTint="A5"/>
      <w:spacing w:val="15"/>
      <w:sz w:val="22"/>
      <w:szCs w:val="22"/>
    </w:rPr>
  </w:style>
  <w:style w:type="character" w:customStyle="1" w:styleId="UntertitelZchn">
    <w:name w:val="Untertitel Zchn"/>
    <w:basedOn w:val="DefaultParagraphFont"/>
    <w:link w:val="Subtitle"/>
    <w:rsid w:val="001B32A6"/>
    <w:rPr>
      <w:rFonts w:ascii="Verdana" w:hAnsi="Verdana" w:eastAsiaTheme="minorEastAsia" w:cstheme="minorBidi"/>
      <w:color w:val="5A5A5A" w:themeColor="text1" w:themeTint="A5"/>
      <w:spacing w:val="15"/>
      <w:sz w:val="22"/>
      <w:szCs w:val="22"/>
    </w:rPr>
  </w:style>
  <w:style w:type="paragraph" w:customStyle="1" w:styleId="cfReference">
    <w:name w:val="cfReference"/>
    <w:basedOn w:val="gemStandard"/>
    <w:qFormat/>
    <w:rsid w:val="00BB27C8"/>
    <w:rPr>
      <w:b/>
      <w:sz w:val="22"/>
    </w:rPr>
  </w:style>
  <w:style w:type="table" w:customStyle="1" w:styleId="PolarionTableNormal">
    <w:name w:val="PolarionTableNormal"/>
    <w:basedOn w:val="TableNormal"/>
    <w:unhideWhenUsed/>
    <w:pPr>
      <w:spacing w:after="0" w:line="240" w:lineRule="auto"/>
    </w:pP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68">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 w:id="182">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187">
      <w:marLeft w:val="0"/>
      <w:marRight w:val="0"/>
      <w:marTop w:val="0"/>
      <w:marBottom w:val="0"/>
      <w:divBdr>
        <w:top w:val="none" w:sz="0" w:space="0" w:color="auto"/>
        <w:left w:val="none" w:sz="0" w:space="0" w:color="auto"/>
        <w:bottom w:val="none" w:sz="0" w:space="0" w:color="auto"/>
        <w:right w:val="none" w:sz="0" w:space="0" w:color="auto"/>
      </w:divBdr>
    </w:div>
    <w:div w:id="188">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190">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192">
      <w:marLeft w:val="0"/>
      <w:marRight w:val="0"/>
      <w:marTop w:val="0"/>
      <w:marBottom w:val="0"/>
      <w:divBdr>
        <w:top w:val="none" w:sz="0" w:space="0" w:color="auto"/>
        <w:left w:val="none" w:sz="0" w:space="0" w:color="auto"/>
        <w:bottom w:val="none" w:sz="0" w:space="0" w:color="auto"/>
        <w:right w:val="none" w:sz="0" w:space="0" w:color="auto"/>
      </w:divBdr>
    </w:div>
    <w:div w:id="193">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196">
      <w:marLeft w:val="0"/>
      <w:marRight w:val="0"/>
      <w:marTop w:val="0"/>
      <w:marBottom w:val="0"/>
      <w:divBdr>
        <w:top w:val="none" w:sz="0" w:space="0" w:color="auto"/>
        <w:left w:val="none" w:sz="0" w:space="0" w:color="auto"/>
        <w:bottom w:val="none" w:sz="0" w:space="0" w:color="auto"/>
        <w:right w:val="none" w:sz="0" w:space="0" w:color="auto"/>
      </w:divBdr>
    </w:div>
    <w:div w:id="197">
      <w:marLeft w:val="0"/>
      <w:marRight w:val="0"/>
      <w:marTop w:val="0"/>
      <w:marBottom w:val="0"/>
      <w:divBdr>
        <w:top w:val="none" w:sz="0" w:space="0" w:color="auto"/>
        <w:left w:val="none" w:sz="0" w:space="0" w:color="auto"/>
        <w:bottom w:val="none" w:sz="0" w:space="0" w:color="auto"/>
        <w:right w:val="none" w:sz="0" w:space="0" w:color="auto"/>
      </w:divBdr>
    </w:div>
    <w:div w:id="198">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01">
      <w:marLeft w:val="0"/>
      <w:marRight w:val="0"/>
      <w:marTop w:val="0"/>
      <w:marBottom w:val="0"/>
      <w:divBdr>
        <w:top w:val="none" w:sz="0" w:space="0" w:color="auto"/>
        <w:left w:val="none" w:sz="0" w:space="0" w:color="auto"/>
        <w:bottom w:val="none" w:sz="0" w:space="0" w:color="auto"/>
        <w:right w:val="none" w:sz="0" w:space="0" w:color="auto"/>
      </w:divBdr>
    </w:div>
    <w:div w:id="202">
      <w:marLeft w:val="0"/>
      <w:marRight w:val="0"/>
      <w:marTop w:val="0"/>
      <w:marBottom w:val="0"/>
      <w:divBdr>
        <w:top w:val="none" w:sz="0" w:space="0" w:color="auto"/>
        <w:left w:val="none" w:sz="0" w:space="0" w:color="auto"/>
        <w:bottom w:val="none" w:sz="0" w:space="0" w:color="auto"/>
        <w:right w:val="none" w:sz="0" w:space="0" w:color="auto"/>
      </w:divBdr>
    </w:div>
    <w:div w:id="203">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 w:id="206">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09">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
    <w:div w:id="213">
      <w:marLeft w:val="0"/>
      <w:marRight w:val="0"/>
      <w:marTop w:val="0"/>
      <w:marBottom w:val="0"/>
      <w:divBdr>
        <w:top w:val="none" w:sz="0" w:space="0" w:color="auto"/>
        <w:left w:val="none" w:sz="0" w:space="0" w:color="auto"/>
        <w:bottom w:val="none" w:sz="0" w:space="0" w:color="auto"/>
        <w:right w:val="none" w:sz="0" w:space="0" w:color="auto"/>
      </w:divBdr>
    </w:div>
    <w:div w:id="214">
      <w:marLeft w:val="0"/>
      <w:marRight w:val="0"/>
      <w:marTop w:val="0"/>
      <w:marBottom w:val="0"/>
      <w:divBdr>
        <w:top w:val="none" w:sz="0" w:space="0" w:color="auto"/>
        <w:left w:val="none" w:sz="0" w:space="0" w:color="auto"/>
        <w:bottom w:val="none" w:sz="0" w:space="0" w:color="auto"/>
        <w:right w:val="none" w:sz="0" w:space="0" w:color="auto"/>
      </w:divBdr>
    </w:div>
    <w:div w:id="215">
      <w:marLeft w:val="0"/>
      <w:marRight w:val="0"/>
      <w:marTop w:val="0"/>
      <w:marBottom w:val="0"/>
      <w:divBdr>
        <w:top w:val="none" w:sz="0" w:space="0" w:color="auto"/>
        <w:left w:val="none" w:sz="0" w:space="0" w:color="auto"/>
        <w:bottom w:val="none" w:sz="0" w:space="0" w:color="auto"/>
        <w:right w:val="none" w:sz="0" w:space="0" w:color="auto"/>
      </w:divBdr>
    </w:div>
    <w:div w:id="216">
      <w:marLeft w:val="0"/>
      <w:marRight w:val="0"/>
      <w:marTop w:val="0"/>
      <w:marBottom w:val="0"/>
      <w:divBdr>
        <w:top w:val="none" w:sz="0" w:space="0" w:color="auto"/>
        <w:left w:val="none" w:sz="0" w:space="0" w:color="auto"/>
        <w:bottom w:val="none" w:sz="0" w:space="0" w:color="auto"/>
        <w:right w:val="none" w:sz="0" w:space="0" w:color="auto"/>
      </w:divBdr>
    </w:div>
    <w:div w:id="217">
      <w:marLeft w:val="0"/>
      <w:marRight w:val="0"/>
      <w:marTop w:val="0"/>
      <w:marBottom w:val="0"/>
      <w:divBdr>
        <w:top w:val="none" w:sz="0" w:space="0" w:color="auto"/>
        <w:left w:val="none" w:sz="0" w:space="0" w:color="auto"/>
        <w:bottom w:val="none" w:sz="0" w:space="0" w:color="auto"/>
        <w:right w:val="none" w:sz="0" w:space="0" w:color="auto"/>
      </w:divBdr>
    </w:div>
    <w:div w:id="218">
      <w:marLeft w:val="0"/>
      <w:marRight w:val="0"/>
      <w:marTop w:val="0"/>
      <w:marBottom w:val="0"/>
      <w:divBdr>
        <w:top w:val="none" w:sz="0" w:space="0" w:color="auto"/>
        <w:left w:val="none" w:sz="0" w:space="0" w:color="auto"/>
        <w:bottom w:val="none" w:sz="0" w:space="0" w:color="auto"/>
        <w:right w:val="none" w:sz="0" w:space="0" w:color="auto"/>
      </w:divBdr>
    </w:div>
    <w:div w:id="219">
      <w:marLeft w:val="0"/>
      <w:marRight w:val="0"/>
      <w:marTop w:val="0"/>
      <w:marBottom w:val="0"/>
      <w:divBdr>
        <w:top w:val="none" w:sz="0" w:space="0" w:color="auto"/>
        <w:left w:val="none" w:sz="0" w:space="0" w:color="auto"/>
        <w:bottom w:val="none" w:sz="0" w:space="0" w:color="auto"/>
        <w:right w:val="none" w:sz="0" w:space="0" w:color="auto"/>
      </w:divBdr>
    </w:div>
    <w:div w:id="220">
      <w:marLeft w:val="0"/>
      <w:marRight w:val="0"/>
      <w:marTop w:val="0"/>
      <w:marBottom w:val="0"/>
      <w:divBdr>
        <w:top w:val="none" w:sz="0" w:space="0" w:color="auto"/>
        <w:left w:val="none" w:sz="0" w:space="0" w:color="auto"/>
        <w:bottom w:val="none" w:sz="0" w:space="0" w:color="auto"/>
        <w:right w:val="none" w:sz="0" w:space="0" w:color="auto"/>
      </w:divBdr>
    </w:div>
    <w:div w:id="221">
      <w:marLeft w:val="0"/>
      <w:marRight w:val="0"/>
      <w:marTop w:val="0"/>
      <w:marBottom w:val="0"/>
      <w:divBdr>
        <w:top w:val="none" w:sz="0" w:space="0" w:color="auto"/>
        <w:left w:val="none" w:sz="0" w:space="0" w:color="auto"/>
        <w:bottom w:val="none" w:sz="0" w:space="0" w:color="auto"/>
        <w:right w:val="none" w:sz="0" w:space="0" w:color="auto"/>
      </w:divBdr>
    </w:div>
    <w:div w:id="222">
      <w:marLeft w:val="0"/>
      <w:marRight w:val="0"/>
      <w:marTop w:val="0"/>
      <w:marBottom w:val="0"/>
      <w:divBdr>
        <w:top w:val="none" w:sz="0" w:space="0" w:color="auto"/>
        <w:left w:val="none" w:sz="0" w:space="0" w:color="auto"/>
        <w:bottom w:val="none" w:sz="0" w:space="0" w:color="auto"/>
        <w:right w:val="none" w:sz="0" w:space="0" w:color="auto"/>
      </w:divBdr>
    </w:div>
    <w:div w:id="223">
      <w:marLeft w:val="0"/>
      <w:marRight w:val="0"/>
      <w:marTop w:val="0"/>
      <w:marBottom w:val="0"/>
      <w:divBdr>
        <w:top w:val="none" w:sz="0" w:space="0" w:color="auto"/>
        <w:left w:val="none" w:sz="0" w:space="0" w:color="auto"/>
        <w:bottom w:val="none" w:sz="0" w:space="0" w:color="auto"/>
        <w:right w:val="none" w:sz="0" w:space="0" w:color="auto"/>
      </w:divBdr>
    </w:div>
    <w:div w:id="224">
      <w:marLeft w:val="0"/>
      <w:marRight w:val="0"/>
      <w:marTop w:val="0"/>
      <w:marBottom w:val="0"/>
      <w:divBdr>
        <w:top w:val="none" w:sz="0" w:space="0" w:color="auto"/>
        <w:left w:val="none" w:sz="0" w:space="0" w:color="auto"/>
        <w:bottom w:val="none" w:sz="0" w:space="0" w:color="auto"/>
        <w:right w:val="none" w:sz="0" w:space="0" w:color="auto"/>
      </w:divBdr>
    </w:div>
    <w:div w:id="225">
      <w:marLeft w:val="0"/>
      <w:marRight w:val="0"/>
      <w:marTop w:val="0"/>
      <w:marBottom w:val="0"/>
      <w:divBdr>
        <w:top w:val="none" w:sz="0" w:space="0" w:color="auto"/>
        <w:left w:val="none" w:sz="0" w:space="0" w:color="auto"/>
        <w:bottom w:val="none" w:sz="0" w:space="0" w:color="auto"/>
        <w:right w:val="none" w:sz="0" w:space="0" w:color="auto"/>
      </w:divBdr>
    </w:div>
    <w:div w:id="226">
      <w:marLeft w:val="0"/>
      <w:marRight w:val="0"/>
      <w:marTop w:val="0"/>
      <w:marBottom w:val="0"/>
      <w:divBdr>
        <w:top w:val="none" w:sz="0" w:space="0" w:color="auto"/>
        <w:left w:val="none" w:sz="0" w:space="0" w:color="auto"/>
        <w:bottom w:val="none" w:sz="0" w:space="0" w:color="auto"/>
        <w:right w:val="none" w:sz="0" w:space="0" w:color="auto"/>
      </w:divBdr>
    </w:div>
    <w:div w:id="227">
      <w:marLeft w:val="0"/>
      <w:marRight w:val="0"/>
      <w:marTop w:val="0"/>
      <w:marBottom w:val="0"/>
      <w:divBdr>
        <w:top w:val="none" w:sz="0" w:space="0" w:color="auto"/>
        <w:left w:val="none" w:sz="0" w:space="0" w:color="auto"/>
        <w:bottom w:val="none" w:sz="0" w:space="0" w:color="auto"/>
        <w:right w:val="none" w:sz="0" w:space="0" w:color="auto"/>
      </w:divBdr>
    </w:div>
    <w:div w:id="228">
      <w:marLeft w:val="0"/>
      <w:marRight w:val="0"/>
      <w:marTop w:val="0"/>
      <w:marBottom w:val="0"/>
      <w:divBdr>
        <w:top w:val="none" w:sz="0" w:space="0" w:color="auto"/>
        <w:left w:val="none" w:sz="0" w:space="0" w:color="auto"/>
        <w:bottom w:val="none" w:sz="0" w:space="0" w:color="auto"/>
        <w:right w:val="none" w:sz="0" w:space="0" w:color="auto"/>
      </w:divBdr>
    </w:div>
    <w:div w:id="229">
      <w:marLeft w:val="0"/>
      <w:marRight w:val="0"/>
      <w:marTop w:val="0"/>
      <w:marBottom w:val="0"/>
      <w:divBdr>
        <w:top w:val="none" w:sz="0" w:space="0" w:color="auto"/>
        <w:left w:val="none" w:sz="0" w:space="0" w:color="auto"/>
        <w:bottom w:val="none" w:sz="0" w:space="0" w:color="auto"/>
        <w:right w:val="none" w:sz="0" w:space="0" w:color="auto"/>
      </w:divBdr>
    </w:div>
    <w:div w:id="230">
      <w:marLeft w:val="0"/>
      <w:marRight w:val="0"/>
      <w:marTop w:val="0"/>
      <w:marBottom w:val="0"/>
      <w:divBdr>
        <w:top w:val="none" w:sz="0" w:space="0" w:color="auto"/>
        <w:left w:val="none" w:sz="0" w:space="0" w:color="auto"/>
        <w:bottom w:val="none" w:sz="0" w:space="0" w:color="auto"/>
        <w:right w:val="none" w:sz="0" w:space="0" w:color="auto"/>
      </w:divBdr>
    </w:div>
    <w:div w:id="231">
      <w:marLeft w:val="0"/>
      <w:marRight w:val="0"/>
      <w:marTop w:val="0"/>
      <w:marBottom w:val="0"/>
      <w:divBdr>
        <w:top w:val="none" w:sz="0" w:space="0" w:color="auto"/>
        <w:left w:val="none" w:sz="0" w:space="0" w:color="auto"/>
        <w:bottom w:val="none" w:sz="0" w:space="0" w:color="auto"/>
        <w:right w:val="none" w:sz="0" w:space="0" w:color="auto"/>
      </w:divBdr>
    </w:div>
    <w:div w:id="232">
      <w:marLeft w:val="0"/>
      <w:marRight w:val="0"/>
      <w:marTop w:val="0"/>
      <w:marBottom w:val="0"/>
      <w:divBdr>
        <w:top w:val="none" w:sz="0" w:space="0" w:color="auto"/>
        <w:left w:val="none" w:sz="0" w:space="0" w:color="auto"/>
        <w:bottom w:val="none" w:sz="0" w:space="0" w:color="auto"/>
        <w:right w:val="none" w:sz="0" w:space="0" w:color="auto"/>
      </w:divBdr>
    </w:div>
    <w:div w:id="233">
      <w:marLeft w:val="0"/>
      <w:marRight w:val="0"/>
      <w:marTop w:val="0"/>
      <w:marBottom w:val="0"/>
      <w:divBdr>
        <w:top w:val="none" w:sz="0" w:space="0" w:color="auto"/>
        <w:left w:val="none" w:sz="0" w:space="0" w:color="auto"/>
        <w:bottom w:val="none" w:sz="0" w:space="0" w:color="auto"/>
        <w:right w:val="none" w:sz="0" w:space="0" w:color="auto"/>
      </w:divBdr>
    </w:div>
    <w:div w:id="234">
      <w:marLeft w:val="0"/>
      <w:marRight w:val="0"/>
      <w:marTop w:val="0"/>
      <w:marBottom w:val="0"/>
      <w:divBdr>
        <w:top w:val="none" w:sz="0" w:space="0" w:color="auto"/>
        <w:left w:val="none" w:sz="0" w:space="0" w:color="auto"/>
        <w:bottom w:val="none" w:sz="0" w:space="0" w:color="auto"/>
        <w:right w:val="none" w:sz="0" w:space="0" w:color="auto"/>
      </w:divBdr>
    </w:div>
    <w:div w:id="235">
      <w:marLeft w:val="0"/>
      <w:marRight w:val="0"/>
      <w:marTop w:val="0"/>
      <w:marBottom w:val="0"/>
      <w:divBdr>
        <w:top w:val="none" w:sz="0" w:space="0" w:color="auto"/>
        <w:left w:val="none" w:sz="0" w:space="0" w:color="auto"/>
        <w:bottom w:val="none" w:sz="0" w:space="0" w:color="auto"/>
        <w:right w:val="none" w:sz="0" w:space="0" w:color="auto"/>
      </w:divBdr>
    </w:div>
    <w:div w:id="236">
      <w:marLeft w:val="0"/>
      <w:marRight w:val="0"/>
      <w:marTop w:val="0"/>
      <w:marBottom w:val="0"/>
      <w:divBdr>
        <w:top w:val="none" w:sz="0" w:space="0" w:color="auto"/>
        <w:left w:val="none" w:sz="0" w:space="0" w:color="auto"/>
        <w:bottom w:val="none" w:sz="0" w:space="0" w:color="auto"/>
        <w:right w:val="none" w:sz="0" w:space="0" w:color="auto"/>
      </w:divBdr>
    </w:div>
    <w:div w:id="237">
      <w:marLeft w:val="0"/>
      <w:marRight w:val="0"/>
      <w:marTop w:val="0"/>
      <w:marBottom w:val="0"/>
      <w:divBdr>
        <w:top w:val="none" w:sz="0" w:space="0" w:color="auto"/>
        <w:left w:val="none" w:sz="0" w:space="0" w:color="auto"/>
        <w:bottom w:val="none" w:sz="0" w:space="0" w:color="auto"/>
        <w:right w:val="none" w:sz="0" w:space="0" w:color="auto"/>
      </w:divBdr>
    </w:div>
    <w:div w:id="238">
      <w:marLeft w:val="0"/>
      <w:marRight w:val="0"/>
      <w:marTop w:val="0"/>
      <w:marBottom w:val="0"/>
      <w:divBdr>
        <w:top w:val="none" w:sz="0" w:space="0" w:color="auto"/>
        <w:left w:val="none" w:sz="0" w:space="0" w:color="auto"/>
        <w:bottom w:val="none" w:sz="0" w:space="0" w:color="auto"/>
        <w:right w:val="none" w:sz="0" w:space="0" w:color="auto"/>
      </w:divBdr>
    </w:div>
    <w:div w:id="239">
      <w:marLeft w:val="0"/>
      <w:marRight w:val="0"/>
      <w:marTop w:val="0"/>
      <w:marBottom w:val="0"/>
      <w:divBdr>
        <w:top w:val="none" w:sz="0" w:space="0" w:color="auto"/>
        <w:left w:val="none" w:sz="0" w:space="0" w:color="auto"/>
        <w:bottom w:val="none" w:sz="0" w:space="0" w:color="auto"/>
        <w:right w:val="none" w:sz="0" w:space="0" w:color="auto"/>
      </w:divBdr>
    </w:div>
    <w:div w:id="240">
      <w:marLeft w:val="0"/>
      <w:marRight w:val="0"/>
      <w:marTop w:val="0"/>
      <w:marBottom w:val="0"/>
      <w:divBdr>
        <w:top w:val="none" w:sz="0" w:space="0" w:color="auto"/>
        <w:left w:val="none" w:sz="0" w:space="0" w:color="auto"/>
        <w:bottom w:val="none" w:sz="0" w:space="0" w:color="auto"/>
        <w:right w:val="none" w:sz="0" w:space="0" w:color="auto"/>
      </w:divBdr>
    </w:div>
    <w:div w:id="241">
      <w:marLeft w:val="0"/>
      <w:marRight w:val="0"/>
      <w:marTop w:val="0"/>
      <w:marBottom w:val="0"/>
      <w:divBdr>
        <w:top w:val="none" w:sz="0" w:space="0" w:color="auto"/>
        <w:left w:val="none" w:sz="0" w:space="0" w:color="auto"/>
        <w:bottom w:val="none" w:sz="0" w:space="0" w:color="auto"/>
        <w:right w:val="none" w:sz="0" w:space="0" w:color="auto"/>
      </w:divBdr>
    </w:div>
    <w:div w:id="242">
      <w:marLeft w:val="0"/>
      <w:marRight w:val="0"/>
      <w:marTop w:val="0"/>
      <w:marBottom w:val="0"/>
      <w:divBdr>
        <w:top w:val="none" w:sz="0" w:space="0" w:color="auto"/>
        <w:left w:val="none" w:sz="0" w:space="0" w:color="auto"/>
        <w:bottom w:val="none" w:sz="0" w:space="0" w:color="auto"/>
        <w:right w:val="none" w:sz="0" w:space="0" w:color="auto"/>
      </w:divBdr>
    </w:div>
    <w:div w:id="243">
      <w:marLeft w:val="0"/>
      <w:marRight w:val="0"/>
      <w:marTop w:val="0"/>
      <w:marBottom w:val="0"/>
      <w:divBdr>
        <w:top w:val="none" w:sz="0" w:space="0" w:color="auto"/>
        <w:left w:val="none" w:sz="0" w:space="0" w:color="auto"/>
        <w:bottom w:val="none" w:sz="0" w:space="0" w:color="auto"/>
        <w:right w:val="none" w:sz="0" w:space="0" w:color="auto"/>
      </w:divBdr>
    </w:div>
    <w:div w:id="244">
      <w:marLeft w:val="0"/>
      <w:marRight w:val="0"/>
      <w:marTop w:val="0"/>
      <w:marBottom w:val="0"/>
      <w:divBdr>
        <w:top w:val="none" w:sz="0" w:space="0" w:color="auto"/>
        <w:left w:val="none" w:sz="0" w:space="0" w:color="auto"/>
        <w:bottom w:val="none" w:sz="0" w:space="0" w:color="auto"/>
        <w:right w:val="none" w:sz="0" w:space="0" w:color="auto"/>
      </w:divBdr>
    </w:div>
    <w:div w:id="245">
      <w:marLeft w:val="0"/>
      <w:marRight w:val="0"/>
      <w:marTop w:val="0"/>
      <w:marBottom w:val="0"/>
      <w:divBdr>
        <w:top w:val="none" w:sz="0" w:space="0" w:color="auto"/>
        <w:left w:val="none" w:sz="0" w:space="0" w:color="auto"/>
        <w:bottom w:val="none" w:sz="0" w:space="0" w:color="auto"/>
        <w:right w:val="none" w:sz="0" w:space="0" w:color="auto"/>
      </w:divBdr>
    </w:div>
    <w:div w:id="246">
      <w:marLeft w:val="0"/>
      <w:marRight w:val="0"/>
      <w:marTop w:val="0"/>
      <w:marBottom w:val="0"/>
      <w:divBdr>
        <w:top w:val="none" w:sz="0" w:space="0" w:color="auto"/>
        <w:left w:val="none" w:sz="0" w:space="0" w:color="auto"/>
        <w:bottom w:val="none" w:sz="0" w:space="0" w:color="auto"/>
        <w:right w:val="none" w:sz="0" w:space="0" w:color="auto"/>
      </w:divBdr>
    </w:div>
    <w:div w:id="247">
      <w:marLeft w:val="0"/>
      <w:marRight w:val="0"/>
      <w:marTop w:val="0"/>
      <w:marBottom w:val="0"/>
      <w:divBdr>
        <w:top w:val="none" w:sz="0" w:space="0" w:color="auto"/>
        <w:left w:val="none" w:sz="0" w:space="0" w:color="auto"/>
        <w:bottom w:val="none" w:sz="0" w:space="0" w:color="auto"/>
        <w:right w:val="none" w:sz="0" w:space="0" w:color="auto"/>
      </w:divBdr>
    </w:div>
    <w:div w:id="248">
      <w:marLeft w:val="0"/>
      <w:marRight w:val="0"/>
      <w:marTop w:val="0"/>
      <w:marBottom w:val="0"/>
      <w:divBdr>
        <w:top w:val="none" w:sz="0" w:space="0" w:color="auto"/>
        <w:left w:val="none" w:sz="0" w:space="0" w:color="auto"/>
        <w:bottom w:val="none" w:sz="0" w:space="0" w:color="auto"/>
        <w:right w:val="none" w:sz="0" w:space="0" w:color="auto"/>
      </w:divBdr>
    </w:div>
    <w:div w:id="249">
      <w:marLeft w:val="0"/>
      <w:marRight w:val="0"/>
      <w:marTop w:val="0"/>
      <w:marBottom w:val="0"/>
      <w:divBdr>
        <w:top w:val="none" w:sz="0" w:space="0" w:color="auto"/>
        <w:left w:val="none" w:sz="0" w:space="0" w:color="auto"/>
        <w:bottom w:val="none" w:sz="0" w:space="0" w:color="auto"/>
        <w:right w:val="none" w:sz="0" w:space="0" w:color="auto"/>
      </w:divBdr>
    </w:div>
    <w:div w:id="250">
      <w:marLeft w:val="0"/>
      <w:marRight w:val="0"/>
      <w:marTop w:val="0"/>
      <w:marBottom w:val="0"/>
      <w:divBdr>
        <w:top w:val="none" w:sz="0" w:space="0" w:color="auto"/>
        <w:left w:val="none" w:sz="0" w:space="0" w:color="auto"/>
        <w:bottom w:val="none" w:sz="0" w:space="0" w:color="auto"/>
        <w:right w:val="none" w:sz="0" w:space="0" w:color="auto"/>
      </w:divBdr>
    </w:div>
    <w:div w:id="251">
      <w:marLeft w:val="0"/>
      <w:marRight w:val="0"/>
      <w:marTop w:val="0"/>
      <w:marBottom w:val="0"/>
      <w:divBdr>
        <w:top w:val="none" w:sz="0" w:space="0" w:color="auto"/>
        <w:left w:val="none" w:sz="0" w:space="0" w:color="auto"/>
        <w:bottom w:val="none" w:sz="0" w:space="0" w:color="auto"/>
        <w:right w:val="none" w:sz="0" w:space="0" w:color="auto"/>
      </w:divBdr>
    </w:div>
    <w:div w:id="252">
      <w:marLeft w:val="0"/>
      <w:marRight w:val="0"/>
      <w:marTop w:val="0"/>
      <w:marBottom w:val="0"/>
      <w:divBdr>
        <w:top w:val="none" w:sz="0" w:space="0" w:color="auto"/>
        <w:left w:val="none" w:sz="0" w:space="0" w:color="auto"/>
        <w:bottom w:val="none" w:sz="0" w:space="0" w:color="auto"/>
        <w:right w:val="none" w:sz="0" w:space="0" w:color="auto"/>
      </w:divBdr>
    </w:div>
    <w:div w:id="253">
      <w:marLeft w:val="0"/>
      <w:marRight w:val="0"/>
      <w:marTop w:val="0"/>
      <w:marBottom w:val="0"/>
      <w:divBdr>
        <w:top w:val="none" w:sz="0" w:space="0" w:color="auto"/>
        <w:left w:val="none" w:sz="0" w:space="0" w:color="auto"/>
        <w:bottom w:val="none" w:sz="0" w:space="0" w:color="auto"/>
        <w:right w:val="none" w:sz="0" w:space="0" w:color="auto"/>
      </w:divBdr>
    </w:div>
    <w:div w:id="254">
      <w:marLeft w:val="0"/>
      <w:marRight w:val="0"/>
      <w:marTop w:val="0"/>
      <w:marBottom w:val="0"/>
      <w:divBdr>
        <w:top w:val="none" w:sz="0" w:space="0" w:color="auto"/>
        <w:left w:val="none" w:sz="0" w:space="0" w:color="auto"/>
        <w:bottom w:val="none" w:sz="0" w:space="0" w:color="auto"/>
        <w:right w:val="none" w:sz="0" w:space="0" w:color="auto"/>
      </w:divBdr>
    </w:div>
    <w:div w:id="255">
      <w:marLeft w:val="0"/>
      <w:marRight w:val="0"/>
      <w:marTop w:val="0"/>
      <w:marBottom w:val="0"/>
      <w:divBdr>
        <w:top w:val="none" w:sz="0" w:space="0" w:color="auto"/>
        <w:left w:val="none" w:sz="0" w:space="0" w:color="auto"/>
        <w:bottom w:val="none" w:sz="0" w:space="0" w:color="auto"/>
        <w:right w:val="none" w:sz="0" w:space="0" w:color="auto"/>
      </w:divBdr>
    </w:div>
    <w:div w:id="256">
      <w:marLeft w:val="0"/>
      <w:marRight w:val="0"/>
      <w:marTop w:val="0"/>
      <w:marBottom w:val="0"/>
      <w:divBdr>
        <w:top w:val="none" w:sz="0" w:space="0" w:color="auto"/>
        <w:left w:val="none" w:sz="0" w:space="0" w:color="auto"/>
        <w:bottom w:val="none" w:sz="0" w:space="0" w:color="auto"/>
        <w:right w:val="none" w:sz="0" w:space="0" w:color="auto"/>
      </w:divBdr>
    </w:div>
    <w:div w:id="257">
      <w:marLeft w:val="0"/>
      <w:marRight w:val="0"/>
      <w:marTop w:val="0"/>
      <w:marBottom w:val="0"/>
      <w:divBdr>
        <w:top w:val="none" w:sz="0" w:space="0" w:color="auto"/>
        <w:left w:val="none" w:sz="0" w:space="0" w:color="auto"/>
        <w:bottom w:val="none" w:sz="0" w:space="0" w:color="auto"/>
        <w:right w:val="none" w:sz="0" w:space="0" w:color="auto"/>
      </w:divBdr>
    </w:div>
    <w:div w:id="258">
      <w:marLeft w:val="0"/>
      <w:marRight w:val="0"/>
      <w:marTop w:val="0"/>
      <w:marBottom w:val="0"/>
      <w:divBdr>
        <w:top w:val="none" w:sz="0" w:space="0" w:color="auto"/>
        <w:left w:val="none" w:sz="0" w:space="0" w:color="auto"/>
        <w:bottom w:val="none" w:sz="0" w:space="0" w:color="auto"/>
        <w:right w:val="none" w:sz="0" w:space="0" w:color="auto"/>
      </w:divBdr>
    </w:div>
    <w:div w:id="259">
      <w:marLeft w:val="0"/>
      <w:marRight w:val="0"/>
      <w:marTop w:val="0"/>
      <w:marBottom w:val="0"/>
      <w:divBdr>
        <w:top w:val="none" w:sz="0" w:space="0" w:color="auto"/>
        <w:left w:val="none" w:sz="0" w:space="0" w:color="auto"/>
        <w:bottom w:val="none" w:sz="0" w:space="0" w:color="auto"/>
        <w:right w:val="none" w:sz="0" w:space="0" w:color="auto"/>
      </w:divBdr>
    </w:div>
    <w:div w:id="260">
      <w:marLeft w:val="0"/>
      <w:marRight w:val="0"/>
      <w:marTop w:val="0"/>
      <w:marBottom w:val="0"/>
      <w:divBdr>
        <w:top w:val="none" w:sz="0" w:space="0" w:color="auto"/>
        <w:left w:val="none" w:sz="0" w:space="0" w:color="auto"/>
        <w:bottom w:val="none" w:sz="0" w:space="0" w:color="auto"/>
        <w:right w:val="none" w:sz="0" w:space="0" w:color="auto"/>
      </w:divBdr>
    </w:div>
    <w:div w:id="261">
      <w:marLeft w:val="0"/>
      <w:marRight w:val="0"/>
      <w:marTop w:val="0"/>
      <w:marBottom w:val="0"/>
      <w:divBdr>
        <w:top w:val="none" w:sz="0" w:space="0" w:color="auto"/>
        <w:left w:val="none" w:sz="0" w:space="0" w:color="auto"/>
        <w:bottom w:val="none" w:sz="0" w:space="0" w:color="auto"/>
        <w:right w:val="none" w:sz="0" w:space="0" w:color="auto"/>
      </w:divBdr>
    </w:div>
    <w:div w:id="262">
      <w:marLeft w:val="0"/>
      <w:marRight w:val="0"/>
      <w:marTop w:val="0"/>
      <w:marBottom w:val="0"/>
      <w:divBdr>
        <w:top w:val="none" w:sz="0" w:space="0" w:color="auto"/>
        <w:left w:val="none" w:sz="0" w:space="0" w:color="auto"/>
        <w:bottom w:val="none" w:sz="0" w:space="0" w:color="auto"/>
        <w:right w:val="none" w:sz="0" w:space="0" w:color="auto"/>
      </w:divBdr>
    </w:div>
    <w:div w:id="263">
      <w:marLeft w:val="0"/>
      <w:marRight w:val="0"/>
      <w:marTop w:val="0"/>
      <w:marBottom w:val="0"/>
      <w:divBdr>
        <w:top w:val="none" w:sz="0" w:space="0" w:color="auto"/>
        <w:left w:val="none" w:sz="0" w:space="0" w:color="auto"/>
        <w:bottom w:val="none" w:sz="0" w:space="0" w:color="auto"/>
        <w:right w:val="none" w:sz="0" w:space="0" w:color="auto"/>
      </w:divBdr>
    </w:div>
    <w:div w:id="264">
      <w:marLeft w:val="0"/>
      <w:marRight w:val="0"/>
      <w:marTop w:val="0"/>
      <w:marBottom w:val="0"/>
      <w:divBdr>
        <w:top w:val="none" w:sz="0" w:space="0" w:color="auto"/>
        <w:left w:val="none" w:sz="0" w:space="0" w:color="auto"/>
        <w:bottom w:val="none" w:sz="0" w:space="0" w:color="auto"/>
        <w:right w:val="none" w:sz="0" w:space="0" w:color="auto"/>
      </w:divBdr>
    </w:div>
    <w:div w:id="265">
      <w:marLeft w:val="0"/>
      <w:marRight w:val="0"/>
      <w:marTop w:val="0"/>
      <w:marBottom w:val="0"/>
      <w:divBdr>
        <w:top w:val="none" w:sz="0" w:space="0" w:color="auto"/>
        <w:left w:val="none" w:sz="0" w:space="0" w:color="auto"/>
        <w:bottom w:val="none" w:sz="0" w:space="0" w:color="auto"/>
        <w:right w:val="none" w:sz="0" w:space="0" w:color="auto"/>
      </w:divBdr>
    </w:div>
    <w:div w:id="266">
      <w:marLeft w:val="0"/>
      <w:marRight w:val="0"/>
      <w:marTop w:val="0"/>
      <w:marBottom w:val="0"/>
      <w:divBdr>
        <w:top w:val="none" w:sz="0" w:space="0" w:color="auto"/>
        <w:left w:val="none" w:sz="0" w:space="0" w:color="auto"/>
        <w:bottom w:val="none" w:sz="0" w:space="0" w:color="auto"/>
        <w:right w:val="none" w:sz="0" w:space="0" w:color="auto"/>
      </w:divBdr>
    </w:div>
    <w:div w:id="267">
      <w:marLeft w:val="0"/>
      <w:marRight w:val="0"/>
      <w:marTop w:val="0"/>
      <w:marBottom w:val="0"/>
      <w:divBdr>
        <w:top w:val="none" w:sz="0" w:space="0" w:color="auto"/>
        <w:left w:val="none" w:sz="0" w:space="0" w:color="auto"/>
        <w:bottom w:val="none" w:sz="0" w:space="0" w:color="auto"/>
        <w:right w:val="none" w:sz="0" w:space="0" w:color="auto"/>
      </w:divBdr>
    </w:div>
    <w:div w:id="268">
      <w:marLeft w:val="0"/>
      <w:marRight w:val="0"/>
      <w:marTop w:val="0"/>
      <w:marBottom w:val="0"/>
      <w:divBdr>
        <w:top w:val="none" w:sz="0" w:space="0" w:color="auto"/>
        <w:left w:val="none" w:sz="0" w:space="0" w:color="auto"/>
        <w:bottom w:val="none" w:sz="0" w:space="0" w:color="auto"/>
        <w:right w:val="none" w:sz="0" w:space="0" w:color="auto"/>
      </w:divBdr>
    </w:div>
    <w:div w:id="269">
      <w:marLeft w:val="0"/>
      <w:marRight w:val="0"/>
      <w:marTop w:val="0"/>
      <w:marBottom w:val="0"/>
      <w:divBdr>
        <w:top w:val="none" w:sz="0" w:space="0" w:color="auto"/>
        <w:left w:val="none" w:sz="0" w:space="0" w:color="auto"/>
        <w:bottom w:val="none" w:sz="0" w:space="0" w:color="auto"/>
        <w:right w:val="none" w:sz="0" w:space="0" w:color="auto"/>
      </w:divBdr>
    </w:div>
    <w:div w:id="270">
      <w:marLeft w:val="0"/>
      <w:marRight w:val="0"/>
      <w:marTop w:val="0"/>
      <w:marBottom w:val="0"/>
      <w:divBdr>
        <w:top w:val="none" w:sz="0" w:space="0" w:color="auto"/>
        <w:left w:val="none" w:sz="0" w:space="0" w:color="auto"/>
        <w:bottom w:val="none" w:sz="0" w:space="0" w:color="auto"/>
        <w:right w:val="none" w:sz="0" w:space="0" w:color="auto"/>
      </w:divBdr>
    </w:div>
    <w:div w:id="271">
      <w:marLeft w:val="0"/>
      <w:marRight w:val="0"/>
      <w:marTop w:val="0"/>
      <w:marBottom w:val="0"/>
      <w:divBdr>
        <w:top w:val="none" w:sz="0" w:space="0" w:color="auto"/>
        <w:left w:val="none" w:sz="0" w:space="0" w:color="auto"/>
        <w:bottom w:val="none" w:sz="0" w:space="0" w:color="auto"/>
        <w:right w:val="none" w:sz="0" w:space="0" w:color="auto"/>
      </w:divBdr>
    </w:div>
    <w:div w:id="272">
      <w:marLeft w:val="0"/>
      <w:marRight w:val="0"/>
      <w:marTop w:val="0"/>
      <w:marBottom w:val="0"/>
      <w:divBdr>
        <w:top w:val="none" w:sz="0" w:space="0" w:color="auto"/>
        <w:left w:val="none" w:sz="0" w:space="0" w:color="auto"/>
        <w:bottom w:val="none" w:sz="0" w:space="0" w:color="auto"/>
        <w:right w:val="none" w:sz="0" w:space="0" w:color="auto"/>
      </w:divBdr>
    </w:div>
    <w:div w:id="273">
      <w:marLeft w:val="0"/>
      <w:marRight w:val="0"/>
      <w:marTop w:val="0"/>
      <w:marBottom w:val="0"/>
      <w:divBdr>
        <w:top w:val="none" w:sz="0" w:space="0" w:color="auto"/>
        <w:left w:val="none" w:sz="0" w:space="0" w:color="auto"/>
        <w:bottom w:val="none" w:sz="0" w:space="0" w:color="auto"/>
        <w:right w:val="none" w:sz="0" w:space="0" w:color="auto"/>
      </w:divBdr>
    </w:div>
    <w:div w:id="274">
      <w:marLeft w:val="0"/>
      <w:marRight w:val="0"/>
      <w:marTop w:val="0"/>
      <w:marBottom w:val="0"/>
      <w:divBdr>
        <w:top w:val="none" w:sz="0" w:space="0" w:color="auto"/>
        <w:left w:val="none" w:sz="0" w:space="0" w:color="auto"/>
        <w:bottom w:val="none" w:sz="0" w:space="0" w:color="auto"/>
        <w:right w:val="none" w:sz="0" w:space="0" w:color="auto"/>
      </w:divBdr>
    </w:div>
    <w:div w:id="275">
      <w:marLeft w:val="0"/>
      <w:marRight w:val="0"/>
      <w:marTop w:val="0"/>
      <w:marBottom w:val="0"/>
      <w:divBdr>
        <w:top w:val="none" w:sz="0" w:space="0" w:color="auto"/>
        <w:left w:val="none" w:sz="0" w:space="0" w:color="auto"/>
        <w:bottom w:val="none" w:sz="0" w:space="0" w:color="auto"/>
        <w:right w:val="none" w:sz="0" w:space="0" w:color="auto"/>
      </w:divBdr>
    </w:div>
    <w:div w:id="276">
      <w:marLeft w:val="0"/>
      <w:marRight w:val="0"/>
      <w:marTop w:val="0"/>
      <w:marBottom w:val="0"/>
      <w:divBdr>
        <w:top w:val="none" w:sz="0" w:space="0" w:color="auto"/>
        <w:left w:val="none" w:sz="0" w:space="0" w:color="auto"/>
        <w:bottom w:val="none" w:sz="0" w:space="0" w:color="auto"/>
        <w:right w:val="none" w:sz="0" w:space="0" w:color="auto"/>
      </w:divBdr>
    </w:div>
    <w:div w:id="277">
      <w:marLeft w:val="0"/>
      <w:marRight w:val="0"/>
      <w:marTop w:val="0"/>
      <w:marBottom w:val="0"/>
      <w:divBdr>
        <w:top w:val="none" w:sz="0" w:space="0" w:color="auto"/>
        <w:left w:val="none" w:sz="0" w:space="0" w:color="auto"/>
        <w:bottom w:val="none" w:sz="0" w:space="0" w:color="auto"/>
        <w:right w:val="none" w:sz="0" w:space="0" w:color="auto"/>
      </w:divBdr>
    </w:div>
    <w:div w:id="278">
      <w:marLeft w:val="0"/>
      <w:marRight w:val="0"/>
      <w:marTop w:val="0"/>
      <w:marBottom w:val="0"/>
      <w:divBdr>
        <w:top w:val="none" w:sz="0" w:space="0" w:color="auto"/>
        <w:left w:val="none" w:sz="0" w:space="0" w:color="auto"/>
        <w:bottom w:val="none" w:sz="0" w:space="0" w:color="auto"/>
        <w:right w:val="none" w:sz="0" w:space="0" w:color="auto"/>
      </w:divBdr>
    </w:div>
    <w:div w:id="279">
      <w:marLeft w:val="0"/>
      <w:marRight w:val="0"/>
      <w:marTop w:val="0"/>
      <w:marBottom w:val="0"/>
      <w:divBdr>
        <w:top w:val="none" w:sz="0" w:space="0" w:color="auto"/>
        <w:left w:val="none" w:sz="0" w:space="0" w:color="auto"/>
        <w:bottom w:val="none" w:sz="0" w:space="0" w:color="auto"/>
        <w:right w:val="none" w:sz="0" w:space="0" w:color="auto"/>
      </w:divBdr>
    </w:div>
    <w:div w:id="280">
      <w:marLeft w:val="0"/>
      <w:marRight w:val="0"/>
      <w:marTop w:val="0"/>
      <w:marBottom w:val="0"/>
      <w:divBdr>
        <w:top w:val="none" w:sz="0" w:space="0" w:color="auto"/>
        <w:left w:val="none" w:sz="0" w:space="0" w:color="auto"/>
        <w:bottom w:val="none" w:sz="0" w:space="0" w:color="auto"/>
        <w:right w:val="none" w:sz="0" w:space="0" w:color="auto"/>
      </w:divBdr>
    </w:div>
    <w:div w:id="281">
      <w:marLeft w:val="0"/>
      <w:marRight w:val="0"/>
      <w:marTop w:val="0"/>
      <w:marBottom w:val="0"/>
      <w:divBdr>
        <w:top w:val="none" w:sz="0" w:space="0" w:color="auto"/>
        <w:left w:val="none" w:sz="0" w:space="0" w:color="auto"/>
        <w:bottom w:val="none" w:sz="0" w:space="0" w:color="auto"/>
        <w:right w:val="none" w:sz="0" w:space="0" w:color="auto"/>
      </w:divBdr>
    </w:div>
    <w:div w:id="282">
      <w:marLeft w:val="0"/>
      <w:marRight w:val="0"/>
      <w:marTop w:val="0"/>
      <w:marBottom w:val="0"/>
      <w:divBdr>
        <w:top w:val="none" w:sz="0" w:space="0" w:color="auto"/>
        <w:left w:val="none" w:sz="0" w:space="0" w:color="auto"/>
        <w:bottom w:val="none" w:sz="0" w:space="0" w:color="auto"/>
        <w:right w:val="none" w:sz="0" w:space="0" w:color="auto"/>
      </w:divBdr>
    </w:div>
    <w:div w:id="283">
      <w:marLeft w:val="0"/>
      <w:marRight w:val="0"/>
      <w:marTop w:val="0"/>
      <w:marBottom w:val="0"/>
      <w:divBdr>
        <w:top w:val="none" w:sz="0" w:space="0" w:color="auto"/>
        <w:left w:val="none" w:sz="0" w:space="0" w:color="auto"/>
        <w:bottom w:val="none" w:sz="0" w:space="0" w:color="auto"/>
        <w:right w:val="none" w:sz="0" w:space="0" w:color="auto"/>
      </w:divBdr>
    </w:div>
    <w:div w:id="284">
      <w:marLeft w:val="0"/>
      <w:marRight w:val="0"/>
      <w:marTop w:val="0"/>
      <w:marBottom w:val="0"/>
      <w:divBdr>
        <w:top w:val="none" w:sz="0" w:space="0" w:color="auto"/>
        <w:left w:val="none" w:sz="0" w:space="0" w:color="auto"/>
        <w:bottom w:val="none" w:sz="0" w:space="0" w:color="auto"/>
        <w:right w:val="none" w:sz="0" w:space="0" w:color="auto"/>
      </w:divBdr>
    </w:div>
    <w:div w:id="285">
      <w:marLeft w:val="0"/>
      <w:marRight w:val="0"/>
      <w:marTop w:val="0"/>
      <w:marBottom w:val="0"/>
      <w:divBdr>
        <w:top w:val="none" w:sz="0" w:space="0" w:color="auto"/>
        <w:left w:val="none" w:sz="0" w:space="0" w:color="auto"/>
        <w:bottom w:val="none" w:sz="0" w:space="0" w:color="auto"/>
        <w:right w:val="none" w:sz="0" w:space="0" w:color="auto"/>
      </w:divBdr>
    </w:div>
    <w:div w:id="286">
      <w:marLeft w:val="0"/>
      <w:marRight w:val="0"/>
      <w:marTop w:val="0"/>
      <w:marBottom w:val="0"/>
      <w:divBdr>
        <w:top w:val="none" w:sz="0" w:space="0" w:color="auto"/>
        <w:left w:val="none" w:sz="0" w:space="0" w:color="auto"/>
        <w:bottom w:val="none" w:sz="0" w:space="0" w:color="auto"/>
        <w:right w:val="none" w:sz="0" w:space="0" w:color="auto"/>
      </w:divBdr>
    </w:div>
    <w:div w:id="287">
      <w:marLeft w:val="0"/>
      <w:marRight w:val="0"/>
      <w:marTop w:val="0"/>
      <w:marBottom w:val="0"/>
      <w:divBdr>
        <w:top w:val="none" w:sz="0" w:space="0" w:color="auto"/>
        <w:left w:val="none" w:sz="0" w:space="0" w:color="auto"/>
        <w:bottom w:val="none" w:sz="0" w:space="0" w:color="auto"/>
        <w:right w:val="none" w:sz="0" w:space="0" w:color="auto"/>
      </w:divBdr>
    </w:div>
    <w:div w:id="288">
      <w:marLeft w:val="0"/>
      <w:marRight w:val="0"/>
      <w:marTop w:val="0"/>
      <w:marBottom w:val="0"/>
      <w:divBdr>
        <w:top w:val="none" w:sz="0" w:space="0" w:color="auto"/>
        <w:left w:val="none" w:sz="0" w:space="0" w:color="auto"/>
        <w:bottom w:val="none" w:sz="0" w:space="0" w:color="auto"/>
        <w:right w:val="none" w:sz="0" w:space="0" w:color="auto"/>
      </w:divBdr>
    </w:div>
    <w:div w:id="289">
      <w:marLeft w:val="0"/>
      <w:marRight w:val="0"/>
      <w:marTop w:val="0"/>
      <w:marBottom w:val="0"/>
      <w:divBdr>
        <w:top w:val="none" w:sz="0" w:space="0" w:color="auto"/>
        <w:left w:val="none" w:sz="0" w:space="0" w:color="auto"/>
        <w:bottom w:val="none" w:sz="0" w:space="0" w:color="auto"/>
        <w:right w:val="none" w:sz="0" w:space="0" w:color="auto"/>
      </w:divBdr>
    </w:div>
    <w:div w:id="290">
      <w:marLeft w:val="0"/>
      <w:marRight w:val="0"/>
      <w:marTop w:val="0"/>
      <w:marBottom w:val="0"/>
      <w:divBdr>
        <w:top w:val="none" w:sz="0" w:space="0" w:color="auto"/>
        <w:left w:val="none" w:sz="0" w:space="0" w:color="auto"/>
        <w:bottom w:val="none" w:sz="0" w:space="0" w:color="auto"/>
        <w:right w:val="none" w:sz="0" w:space="0" w:color="auto"/>
      </w:divBdr>
    </w:div>
    <w:div w:id="291">
      <w:marLeft w:val="0"/>
      <w:marRight w:val="0"/>
      <w:marTop w:val="0"/>
      <w:marBottom w:val="0"/>
      <w:divBdr>
        <w:top w:val="none" w:sz="0" w:space="0" w:color="auto"/>
        <w:left w:val="none" w:sz="0" w:space="0" w:color="auto"/>
        <w:bottom w:val="none" w:sz="0" w:space="0" w:color="auto"/>
        <w:right w:val="none" w:sz="0" w:space="0" w:color="auto"/>
      </w:divBdr>
    </w:div>
    <w:div w:id="292">
      <w:marLeft w:val="0"/>
      <w:marRight w:val="0"/>
      <w:marTop w:val="0"/>
      <w:marBottom w:val="0"/>
      <w:divBdr>
        <w:top w:val="none" w:sz="0" w:space="0" w:color="auto"/>
        <w:left w:val="none" w:sz="0" w:space="0" w:color="auto"/>
        <w:bottom w:val="none" w:sz="0" w:space="0" w:color="auto"/>
        <w:right w:val="none" w:sz="0" w:space="0" w:color="auto"/>
      </w:divBdr>
    </w:div>
    <w:div w:id="293">
      <w:marLeft w:val="0"/>
      <w:marRight w:val="0"/>
      <w:marTop w:val="0"/>
      <w:marBottom w:val="0"/>
      <w:divBdr>
        <w:top w:val="none" w:sz="0" w:space="0" w:color="auto"/>
        <w:left w:val="none" w:sz="0" w:space="0" w:color="auto"/>
        <w:bottom w:val="none" w:sz="0" w:space="0" w:color="auto"/>
        <w:right w:val="none" w:sz="0" w:space="0" w:color="auto"/>
      </w:divBdr>
    </w:div>
    <w:div w:id="294">
      <w:marLeft w:val="0"/>
      <w:marRight w:val="0"/>
      <w:marTop w:val="0"/>
      <w:marBottom w:val="0"/>
      <w:divBdr>
        <w:top w:val="none" w:sz="0" w:space="0" w:color="auto"/>
        <w:left w:val="none" w:sz="0" w:space="0" w:color="auto"/>
        <w:bottom w:val="none" w:sz="0" w:space="0" w:color="auto"/>
        <w:right w:val="none" w:sz="0" w:space="0" w:color="auto"/>
      </w:divBdr>
    </w:div>
    <w:div w:id="295">
      <w:marLeft w:val="0"/>
      <w:marRight w:val="0"/>
      <w:marTop w:val="0"/>
      <w:marBottom w:val="0"/>
      <w:divBdr>
        <w:top w:val="none" w:sz="0" w:space="0" w:color="auto"/>
        <w:left w:val="none" w:sz="0" w:space="0" w:color="auto"/>
        <w:bottom w:val="none" w:sz="0" w:space="0" w:color="auto"/>
        <w:right w:val="none" w:sz="0" w:space="0" w:color="auto"/>
      </w:divBdr>
    </w:div>
    <w:div w:id="296">
      <w:marLeft w:val="0"/>
      <w:marRight w:val="0"/>
      <w:marTop w:val="0"/>
      <w:marBottom w:val="0"/>
      <w:divBdr>
        <w:top w:val="none" w:sz="0" w:space="0" w:color="auto"/>
        <w:left w:val="none" w:sz="0" w:space="0" w:color="auto"/>
        <w:bottom w:val="none" w:sz="0" w:space="0" w:color="auto"/>
        <w:right w:val="none" w:sz="0" w:space="0" w:color="auto"/>
      </w:divBdr>
    </w:div>
    <w:div w:id="297">
      <w:marLeft w:val="0"/>
      <w:marRight w:val="0"/>
      <w:marTop w:val="0"/>
      <w:marBottom w:val="0"/>
      <w:divBdr>
        <w:top w:val="none" w:sz="0" w:space="0" w:color="auto"/>
        <w:left w:val="none" w:sz="0" w:space="0" w:color="auto"/>
        <w:bottom w:val="none" w:sz="0" w:space="0" w:color="auto"/>
        <w:right w:val="none" w:sz="0" w:space="0" w:color="auto"/>
      </w:divBdr>
    </w:div>
    <w:div w:id="298">
      <w:marLeft w:val="0"/>
      <w:marRight w:val="0"/>
      <w:marTop w:val="0"/>
      <w:marBottom w:val="0"/>
      <w:divBdr>
        <w:top w:val="none" w:sz="0" w:space="0" w:color="auto"/>
        <w:left w:val="none" w:sz="0" w:space="0" w:color="auto"/>
        <w:bottom w:val="none" w:sz="0" w:space="0" w:color="auto"/>
        <w:right w:val="none" w:sz="0" w:space="0" w:color="auto"/>
      </w:divBdr>
    </w:div>
    <w:div w:id="299">
      <w:marLeft w:val="0"/>
      <w:marRight w:val="0"/>
      <w:marTop w:val="0"/>
      <w:marBottom w:val="0"/>
      <w:divBdr>
        <w:top w:val="none" w:sz="0" w:space="0" w:color="auto"/>
        <w:left w:val="none" w:sz="0" w:space="0" w:color="auto"/>
        <w:bottom w:val="none" w:sz="0" w:space="0" w:color="auto"/>
        <w:right w:val="none" w:sz="0" w:space="0" w:color="auto"/>
      </w:divBdr>
    </w:div>
    <w:div w:id="300">
      <w:marLeft w:val="0"/>
      <w:marRight w:val="0"/>
      <w:marTop w:val="0"/>
      <w:marBottom w:val="0"/>
      <w:divBdr>
        <w:top w:val="none" w:sz="0" w:space="0" w:color="auto"/>
        <w:left w:val="none" w:sz="0" w:space="0" w:color="auto"/>
        <w:bottom w:val="none" w:sz="0" w:space="0" w:color="auto"/>
        <w:right w:val="none" w:sz="0" w:space="0" w:color="auto"/>
      </w:divBdr>
    </w:div>
    <w:div w:id="301">
      <w:marLeft w:val="0"/>
      <w:marRight w:val="0"/>
      <w:marTop w:val="0"/>
      <w:marBottom w:val="0"/>
      <w:divBdr>
        <w:top w:val="none" w:sz="0" w:space="0" w:color="auto"/>
        <w:left w:val="none" w:sz="0" w:space="0" w:color="auto"/>
        <w:bottom w:val="none" w:sz="0" w:space="0" w:color="auto"/>
        <w:right w:val="none" w:sz="0" w:space="0" w:color="auto"/>
      </w:divBdr>
    </w:div>
    <w:div w:id="302">
      <w:marLeft w:val="0"/>
      <w:marRight w:val="0"/>
      <w:marTop w:val="0"/>
      <w:marBottom w:val="0"/>
      <w:divBdr>
        <w:top w:val="none" w:sz="0" w:space="0" w:color="auto"/>
        <w:left w:val="none" w:sz="0" w:space="0" w:color="auto"/>
        <w:bottom w:val="none" w:sz="0" w:space="0" w:color="auto"/>
        <w:right w:val="none" w:sz="0" w:space="0" w:color="auto"/>
      </w:divBdr>
    </w:div>
    <w:div w:id="303">
      <w:marLeft w:val="0"/>
      <w:marRight w:val="0"/>
      <w:marTop w:val="0"/>
      <w:marBottom w:val="0"/>
      <w:divBdr>
        <w:top w:val="none" w:sz="0" w:space="0" w:color="auto"/>
        <w:left w:val="none" w:sz="0" w:space="0" w:color="auto"/>
        <w:bottom w:val="none" w:sz="0" w:space="0" w:color="auto"/>
        <w:right w:val="none" w:sz="0" w:space="0" w:color="auto"/>
      </w:divBdr>
    </w:div>
    <w:div w:id="304">
      <w:marLeft w:val="0"/>
      <w:marRight w:val="0"/>
      <w:marTop w:val="0"/>
      <w:marBottom w:val="0"/>
      <w:divBdr>
        <w:top w:val="none" w:sz="0" w:space="0" w:color="auto"/>
        <w:left w:val="none" w:sz="0" w:space="0" w:color="auto"/>
        <w:bottom w:val="none" w:sz="0" w:space="0" w:color="auto"/>
        <w:right w:val="none" w:sz="0" w:space="0" w:color="auto"/>
      </w:divBdr>
    </w:div>
    <w:div w:id="305">
      <w:marLeft w:val="0"/>
      <w:marRight w:val="0"/>
      <w:marTop w:val="0"/>
      <w:marBottom w:val="0"/>
      <w:divBdr>
        <w:top w:val="none" w:sz="0" w:space="0" w:color="auto"/>
        <w:left w:val="none" w:sz="0" w:space="0" w:color="auto"/>
        <w:bottom w:val="none" w:sz="0" w:space="0" w:color="auto"/>
        <w:right w:val="none" w:sz="0" w:space="0" w:color="auto"/>
      </w:divBdr>
    </w:div>
    <w:div w:id="306">
      <w:marLeft w:val="0"/>
      <w:marRight w:val="0"/>
      <w:marTop w:val="0"/>
      <w:marBottom w:val="0"/>
      <w:divBdr>
        <w:top w:val="none" w:sz="0" w:space="0" w:color="auto"/>
        <w:left w:val="none" w:sz="0" w:space="0" w:color="auto"/>
        <w:bottom w:val="none" w:sz="0" w:space="0" w:color="auto"/>
        <w:right w:val="none" w:sz="0" w:space="0" w:color="auto"/>
      </w:divBdr>
    </w:div>
    <w:div w:id="307">
      <w:marLeft w:val="0"/>
      <w:marRight w:val="0"/>
      <w:marTop w:val="0"/>
      <w:marBottom w:val="0"/>
      <w:divBdr>
        <w:top w:val="none" w:sz="0" w:space="0" w:color="auto"/>
        <w:left w:val="none" w:sz="0" w:space="0" w:color="auto"/>
        <w:bottom w:val="none" w:sz="0" w:space="0" w:color="auto"/>
        <w:right w:val="none" w:sz="0" w:space="0" w:color="auto"/>
      </w:divBdr>
    </w:div>
    <w:div w:id="308">
      <w:marLeft w:val="0"/>
      <w:marRight w:val="0"/>
      <w:marTop w:val="0"/>
      <w:marBottom w:val="0"/>
      <w:divBdr>
        <w:top w:val="none" w:sz="0" w:space="0" w:color="auto"/>
        <w:left w:val="none" w:sz="0" w:space="0" w:color="auto"/>
        <w:bottom w:val="none" w:sz="0" w:space="0" w:color="auto"/>
        <w:right w:val="none" w:sz="0" w:space="0" w:color="auto"/>
      </w:divBdr>
    </w:div>
    <w:div w:id="309">
      <w:marLeft w:val="0"/>
      <w:marRight w:val="0"/>
      <w:marTop w:val="0"/>
      <w:marBottom w:val="0"/>
      <w:divBdr>
        <w:top w:val="none" w:sz="0" w:space="0" w:color="auto"/>
        <w:left w:val="none" w:sz="0" w:space="0" w:color="auto"/>
        <w:bottom w:val="none" w:sz="0" w:space="0" w:color="auto"/>
        <w:right w:val="none" w:sz="0" w:space="0" w:color="auto"/>
      </w:divBdr>
    </w:div>
    <w:div w:id="310">
      <w:marLeft w:val="0"/>
      <w:marRight w:val="0"/>
      <w:marTop w:val="0"/>
      <w:marBottom w:val="0"/>
      <w:divBdr>
        <w:top w:val="none" w:sz="0" w:space="0" w:color="auto"/>
        <w:left w:val="none" w:sz="0" w:space="0" w:color="auto"/>
        <w:bottom w:val="none" w:sz="0" w:space="0" w:color="auto"/>
        <w:right w:val="none" w:sz="0" w:space="0" w:color="auto"/>
      </w:divBdr>
    </w:div>
    <w:div w:id="311">
      <w:marLeft w:val="0"/>
      <w:marRight w:val="0"/>
      <w:marTop w:val="0"/>
      <w:marBottom w:val="0"/>
      <w:divBdr>
        <w:top w:val="none" w:sz="0" w:space="0" w:color="auto"/>
        <w:left w:val="none" w:sz="0" w:space="0" w:color="auto"/>
        <w:bottom w:val="none" w:sz="0" w:space="0" w:color="auto"/>
        <w:right w:val="none" w:sz="0" w:space="0" w:color="auto"/>
      </w:divBdr>
    </w:div>
    <w:div w:id="312">
      <w:marLeft w:val="0"/>
      <w:marRight w:val="0"/>
      <w:marTop w:val="0"/>
      <w:marBottom w:val="0"/>
      <w:divBdr>
        <w:top w:val="none" w:sz="0" w:space="0" w:color="auto"/>
        <w:left w:val="none" w:sz="0" w:space="0" w:color="auto"/>
        <w:bottom w:val="none" w:sz="0" w:space="0" w:color="auto"/>
        <w:right w:val="none" w:sz="0" w:space="0" w:color="auto"/>
      </w:divBdr>
    </w:div>
    <w:div w:id="313">
      <w:marLeft w:val="0"/>
      <w:marRight w:val="0"/>
      <w:marTop w:val="0"/>
      <w:marBottom w:val="0"/>
      <w:divBdr>
        <w:top w:val="none" w:sz="0" w:space="0" w:color="auto"/>
        <w:left w:val="none" w:sz="0" w:space="0" w:color="auto"/>
        <w:bottom w:val="none" w:sz="0" w:space="0" w:color="auto"/>
        <w:right w:val="none" w:sz="0" w:space="0" w:color="auto"/>
      </w:divBdr>
    </w:div>
    <w:div w:id="314">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pet-gematikde.msappproxy.net/polarion/module-attachment/Mainline_OPB1/Spezifikation/gemF_Zero-Trust/Zero-Trust_Architektur__5_.png?revision=923551" TargetMode="External" /><Relationship Id="rId11" Type="http://schemas.openxmlformats.org/officeDocument/2006/relationships/image" Target="media/image2.png" /><Relationship Id="rId12" Type="http://schemas.openxmlformats.org/officeDocument/2006/relationships/hyperlink" Target="https://pet-gematikde.msappproxy.net/polarion/#/baseline/925986/project/Mainline_OPB1/wiki/Spezifikation/gemF_Zero-Trust?selection=ML-152865" TargetMode="External" /><Relationship Id="rId13" Type="http://schemas.openxmlformats.org/officeDocument/2006/relationships/hyperlink" Target="https://pet-gematikde.msappproxy.net/polarion/#/baseline/925986/project/Mainline_OPB1/wiki/Spezifikation/gemF_Zero-Trust?selection=ML-152184" TargetMode="External" /><Relationship Id="rId14" Type="http://schemas.openxmlformats.org/officeDocument/2006/relationships/hyperlink" Target="https://pet-gematikde.msappproxy.net/polarion/#/baseline/925986/project/Mainline_OPB1/wiki/Spezifikation/gemF_Zero-Trust?selection=ML-153975" TargetMode="External" /><Relationship Id="rId15" Type="http://schemas.openxmlformats.org/officeDocument/2006/relationships/hyperlink" Target="https://&amp;lt;as-fqdn&amp;gt;/.well-known/oauth-authorization-server" TargetMode="External" /><Relationship Id="rId16" Type="http://schemas.openxmlformats.org/officeDocument/2006/relationships/hyperlink" Target="https://raw.githubusercontent.com/gematik/spec-t20r/main/src/schemas/as-well-known.yaml" TargetMode="External" /><Relationship Id="rId17" Type="http://schemas.openxmlformats.org/officeDocument/2006/relationships/hyperlink" Target="https://idp.app.ti-dienste.de/directory/fed_idp_list" TargetMode="External" /><Relationship Id="rId18" Type="http://schemas.openxmlformats.org/officeDocument/2006/relationships/hyperlink" Target="https://idp-ref.app.ti-dienste.de/directory/fed_idp_list" TargetMode="External" /><Relationship Id="rId19" Type="http://schemas.openxmlformats.org/officeDocument/2006/relationships/hyperlink" Target="https://pet-gematikde.msappproxy.net/polarion/module-attachment/Mainline_OPB1/Spezifikation/gemF_Zero-Trust/SM-B_Auth_with_DPoP__8_.png?revision=923996" TargetMode="External" /><Relationship Id="rId2" Type="http://schemas.openxmlformats.org/officeDocument/2006/relationships/webSettings" Target="webSettings.xml" /><Relationship Id="rId20" Type="http://schemas.openxmlformats.org/officeDocument/2006/relationships/image" Target="media/image3.png" /><Relationship Id="rId21" Type="http://schemas.openxmlformats.org/officeDocument/2006/relationships/hyperlink" Target="https://as.example.com/" TargetMode="External" /><Relationship Id="rId22" Type="http://schemas.openxmlformats.org/officeDocument/2006/relationships/hyperlink" Target="https://pip-pap.ti-dienste.de" TargetMode="External" /><Relationship Id="rId23" Type="http://schemas.openxmlformats.org/officeDocument/2006/relationships/hyperlink" Target="https://pip-pap-ref.ti-dienste.de" TargetMode="External" /><Relationship Id="rId24" Type="http://schemas.openxmlformats.org/officeDocument/2006/relationships/hyperlink" Target="https://pip-pap-test.ti-dienste.de" TargetMode="External" /><Relationship Id="rId25" Type="http://schemas.openxmlformats.org/officeDocument/2006/relationships/hyperlink" Target="https://pet-gematikde.msappproxy.net/polarion/#/baseline/925986/project/Mainline_OPB1/wiki/Spezifikation/gemF_Zero-Trust?selection=ML-152473" TargetMode="External" /><Relationship Id="rId26" Type="http://schemas.openxmlformats.org/officeDocument/2006/relationships/hyperlink" Target="https://dsr.gematik.solutions" TargetMode="External" /><Relationship Id="rId27" Type="http://schemas.openxmlformats.org/officeDocument/2006/relationships/hyperlink" Target="https://github.com/gematik/spec-t20r" TargetMode="External" /><Relationship Id="rId28" Type="http://schemas.openxmlformats.org/officeDocument/2006/relationships/hyperlink" Target="https://github.com/gematik/zero-lab" TargetMode="External" /><Relationship Id="rId29" Type="http://schemas.openxmlformats.org/officeDocument/2006/relationships/hyperlink" Target="https://github.com/gematik/zero-lab-apple" TargetMode="External" /><Relationship Id="rId3" Type="http://schemas.openxmlformats.org/officeDocument/2006/relationships/fontTable" Target="fontTable.xml" /><Relationship Id="rId30" Type="http://schemas.openxmlformats.org/officeDocument/2006/relationships/hyperlink" Target="https://fachportal.gematik.de/fileadmin/Fachportal/Downloadcenter/gemKPT_Zero_Trust_V1.0.0.pdf" TargetMode="External" /><Relationship Id="rId31" Type="http://schemas.openxmlformats.org/officeDocument/2006/relationships/hyperlink" Target="https://gemspec.gematik.de/docs/gemSpec/gemSpec_DS_Hersteller/gemSpec_DS_Hersteller_V1.5.1/" TargetMode="External" /><Relationship Id="rId32" Type="http://schemas.openxmlformats.org/officeDocument/2006/relationships/hyperlink" Target="https://gemspec.gematik.de/docs/gemSpec/gemSpec_IDP_Dienst/gemSpec_IDP_Dienst_V1.6.0/" TargetMode="External" /><Relationship Id="rId33" Type="http://schemas.openxmlformats.org/officeDocument/2006/relationships/hyperlink" Target="https://gemspec.gematik.de/docs/gemSpec/gemSpec_IDP_Sek/gemSpec_IDP_Sek_V2.3.0/" TargetMode="External" /><Relationship Id="rId34" Type="http://schemas.openxmlformats.org/officeDocument/2006/relationships/hyperlink" Target="https://gemspec.gematik.de/docs/gemSpec/gemSpec_Krypt/gemSpec_Krypt_V2.31.0/" TargetMode="External" /><Relationship Id="rId35" Type="http://schemas.openxmlformats.org/officeDocument/2006/relationships/hyperlink" Target="https://raw.githubusercontent.com/gematik/spec-t20r/develop/src/openapi/pip-pap-api.yaml" TargetMode="External" /><Relationship Id="rId36" Type="http://schemas.openxmlformats.org/officeDocument/2006/relationships/hyperlink" Target="https://research.google/pubs/the-android-platform-security-model/" TargetMode="External" /><Relationship Id="rId37" Type="http://schemas.openxmlformats.org/officeDocument/2006/relationships/hyperlink" Target="https://support.apple.com/de-de/guide/security/seccd5016d31/web" TargetMode="External" /><Relationship Id="rId38" Type="http://schemas.openxmlformats.org/officeDocument/2006/relationships/hyperlink" Target="https://www.bsi.bund.de/DE/Themen/Unternehmen-und-Organisationen/Standards-und-Zertifizierung/IT-Grundschutz/it-grundschutz_node.html" TargetMode="External" /><Relationship Id="rId39" Type="http://schemas.openxmlformats.org/officeDocument/2006/relationships/hyperlink" Target="https://www.bsi.bund.de/SharedDocs/Downloads/DE/BSI/DigitaleGesellschaft/Pruefvorschrift_Produktgutachter_ePA-Frontend.html" TargetMode="External" /><Relationship Id="rId4" Type="http://schemas.openxmlformats.org/officeDocument/2006/relationships/customXml" Target="../customXml/item1.xml" /><Relationship Id="rId40" Type="http://schemas.openxmlformats.org/officeDocument/2006/relationships/hyperlink" Target="https://cabforum.org/" TargetMode="External" /><Relationship Id="rId41" Type="http://schemas.openxmlformats.org/officeDocument/2006/relationships/hyperlink" Target="https://capec.mitre.org/data/definitions/659.html" TargetMode="External" /><Relationship Id="rId42" Type="http://schemas.openxmlformats.org/officeDocument/2006/relationships/hyperlink" Target="https://en.wikipedia.org/wiki/Exponential_backoff" TargetMode="External" /><Relationship Id="rId43" Type="http://schemas.openxmlformats.org/officeDocument/2006/relationships/hyperlink" Target="https://developer.android.com/google/play/integrity/standard" TargetMode="External" /><Relationship Id="rId44" Type="http://schemas.openxmlformats.org/officeDocument/2006/relationships/hyperlink" Target="https://gemspec.gematik.de/docs/gemSpec/gemSpec_DS_Anbieter/latest/#3.3" TargetMode="External" /><Relationship Id="rId45" Type="http://schemas.openxmlformats.org/officeDocument/2006/relationships/hyperlink" Target="https://www.openpolicyagent.org/docs/latest/management-bundles/" TargetMode="External" /><Relationship Id="rId46" Type="http://schemas.openxmlformats.org/officeDocument/2006/relationships/hyperlink" Target="https://www.openpolicyagent.org/docs/latest/" TargetMode="External" /><Relationship Id="rId47" Type="http://schemas.openxmlformats.org/officeDocument/2006/relationships/hyperlink" Target="https://owasp.org/www-project-top-ten/" TargetMode="External" /><Relationship Id="rId48" Type="http://schemas.openxmlformats.org/officeDocument/2006/relationships/hyperlink" Target="https://www.bsi.bund.de/DE/Themen/Unternehmen-und-Organisationen/Standards-und-Zertifizierung/Technische-Richtlinien/TR-nach-Thema-sortiert/tr03161/tr-03161.html" TargetMode="External" /><Relationship Id="rId49" Type="http://schemas.openxmlformats.org/officeDocument/2006/relationships/hyperlink" Target="https://datatracker.ietf.org/doc/html/rfc2119" TargetMode="External" /><Relationship Id="rId5" Type="http://schemas.openxmlformats.org/officeDocument/2006/relationships/customXml" Target="../customXml/item2.xml" /><Relationship Id="rId50" Type="http://schemas.openxmlformats.org/officeDocument/2006/relationships/hyperlink" Target="https://datatracker.ietf.org/doc/html/rfc2986" TargetMode="External" /><Relationship Id="rId51" Type="http://schemas.openxmlformats.org/officeDocument/2006/relationships/hyperlink" Target="https://datatracker.ietf.org/doc/html/rfc6749" TargetMode="External" /><Relationship Id="rId52" Type="http://schemas.openxmlformats.org/officeDocument/2006/relationships/hyperlink" Target="https://datatracker.ietf.org/doc/html/rfc7231" TargetMode="External" /><Relationship Id="rId53" Type="http://schemas.openxmlformats.org/officeDocument/2006/relationships/hyperlink" Target="https://datatracker.ietf.org/doc/html/rfc7521" TargetMode="External" /><Relationship Id="rId54" Type="http://schemas.openxmlformats.org/officeDocument/2006/relationships/hyperlink" Target="https://datatracker.ietf.org/doc/html/rfc7523" TargetMode="External" /><Relationship Id="rId55" Type="http://schemas.openxmlformats.org/officeDocument/2006/relationships/hyperlink" Target="https://datatracker.ietf.org/doc/html/rfc7636" TargetMode="External" /><Relationship Id="rId56" Type="http://schemas.openxmlformats.org/officeDocument/2006/relationships/hyperlink" Target="https://datatracker.ietf.org/doc/html/rfc8555#section-6.5.1" TargetMode="External" /><Relationship Id="rId57" Type="http://schemas.openxmlformats.org/officeDocument/2006/relationships/hyperlink" Target="https://datatracker.ietf.org/doc/html/rfc8705" TargetMode="External" /><Relationship Id="rId58" Type="http://schemas.openxmlformats.org/officeDocument/2006/relationships/hyperlink" Target="https://datatracker.ietf.org/doc/html/rfc9449" TargetMode="External" /><Relationship Id="rId59" Type="http://schemas.openxmlformats.org/officeDocument/2006/relationships/hyperlink" Target="https://source.android.com/docs/security/features/verifiedboot?hl=de" TargetMode="External" /><Relationship Id="rId6" Type="http://schemas.openxmlformats.org/officeDocument/2006/relationships/customXml" Target="../customXml/item3.xml" /><Relationship Id="rId60" Type="http://schemas.openxmlformats.org/officeDocument/2006/relationships/header" Target="header1.xml" /><Relationship Id="rId61" Type="http://schemas.openxmlformats.org/officeDocument/2006/relationships/footer" Target="footer1.xml" /><Relationship Id="rId62" Type="http://schemas.openxmlformats.org/officeDocument/2006/relationships/header" Target="header2.xml" /><Relationship Id="rId63" Type="http://schemas.openxmlformats.org/officeDocument/2006/relationships/footer" Target="footer2.xml" /><Relationship Id="rId64" Type="http://schemas.openxmlformats.org/officeDocument/2006/relationships/theme" Target="theme/theme1.xml" /><Relationship Id="rId65" Type="http://schemas.openxmlformats.org/officeDocument/2006/relationships/numbering" Target="numbering.xml" /><Relationship Id="rId66" Type="http://schemas.openxmlformats.org/officeDocument/2006/relationships/styles" Target="styles.xml" /><Relationship Id="rId7" Type="http://schemas.openxmlformats.org/officeDocument/2006/relationships/comments" Target="comments.xml" /><Relationship Id="rId8" Type="http://schemas.openxmlformats.org/officeDocument/2006/relationships/hyperlink" Target="https://pet-gematikde.msappproxy.net/polarion/module-attachment/Mainline_OPB1/Spezifikation/gemF_Zero-Trust/2-screenshot-20240223-171048.png?revision=884298" TargetMode="External" /><Relationship Id="rId9" Type="http://schemas.openxmlformats.org/officeDocument/2006/relationships/image" Target="media/image1.png" /></Relationships>
</file>

<file path=word/_rels/header1.xml.rels><?xml version="1.0" encoding="utf-8" standalone="yes"?><Relationships xmlns="http://schemas.openxmlformats.org/package/2006/relationships"><Relationship Id="rId1" Type="http://schemas.openxmlformats.org/officeDocument/2006/relationships/image" Target="media/image4.jpeg" /></Relationships>
</file>

<file path=word/_rels/header2.xml.rels><?xml version="1.0" encoding="utf-8" standalone="yes"?><Relationships xmlns="http://schemas.openxmlformats.org/package/2006/relationships"><Relationship Id="rId1" Type="http://schemas.openxmlformats.org/officeDocument/2006/relationships/image" Target="media/image4.jpeg" /></Relationships>
</file>

<file path=word/theme/theme1.xml><?xml version="1.0" encoding="utf-8"?>
<a:theme xmlns:w="http://schemas.openxmlformats.org/wordprocessingml/2006/main" xmlns:r="http://schemas.openxmlformats.org/officeDocument/2006/relationships" xmlns:m="http://schemas.openxmlformats.org/officeDocument/2006/math" xmlns:ns4="http://schemas.openxmlformats.org/schemaLibrary/2006/main" xmlns:wp="http://schemas.openxmlformats.org/drawingml/2006/wordprocessingDrawing" xmlns:a="http://schemas.openxmlformats.org/drawingml/2006/main" xmlns:pkg="http://schemas.microsoft.com/office/2006/xmlPackage" xmlns:ns8="http://schemas.openxmlformats.org/drawingml/2006/chart" xmlns:ns9="http://schemas.openxmlformats.org/drawingml/2006/chartDrawing" xmlns:ns10="http://schemas.openxmlformats.org/drawingml/2006/diagram" xmlns:pic="http://schemas.openxmlformats.org/drawingml/2006/picture" xmlns:o="urn:schemas-microsoft-com:office:office" xmlns:v="urn:schemas-microsoft-com:vml" xmlns:ns14="http://schemas.openxmlformats.org/drawingml/2006/compatibility" xmlns:ns15="http://schemas.openxmlformats.org/drawingml/2006/lockedCanvas"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false">
              <a:srgbClr val="000000">
                <a:alpha val="38000"/>
              </a:srgbClr>
            </a:outerShdw>
          </a:effectLst>
        </a:effectStyle>
        <a:effectStyle>
          <a:effectLst>
            <a:outerShdw blurRad="40000" dist="23000" dir="5400000" rotWithShape="false">
              <a:srgbClr val="000000">
                <a:alpha val="35000"/>
              </a:srgbClr>
            </a:outerShdw>
          </a:effectLst>
        </a:effectStyle>
        <a:effectStyle>
          <a:effectLst>
            <a:outerShdw blurRad="40000" dist="23000" dir="5400000" rotWithShape="false">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roundTripData>
  <topLevelElements>
    <p htmlId="polarion_47" wmlId="1"/>
    <p htmlId="polarion_48" wmlId="2"/>
    <p htmlId="polarion_49" wmlId="3"/>
    <p htmlId="polarion_50" wmlId="4"/>
    <p htmlId="polarion_51" wmlId="5"/>
    <p htmlId="polarion_52" wmlId="6"/>
    <p htmlId="polarion_62" wmlId="7"/>
    <p htmlId="polarion_63" wmlId="8"/>
    <p htmlId="polarion_64" wmlId="9"/>
    <p htmlId="polarion_65" wmlId="10"/>
    <p htmlId="polarion_66" wmlId="11"/>
    <p htmlId="polarion_59" wmlId="12"/>
    <p htmlId="polarion_67" wmlId="13"/>
    <p htmlId="polarion_32" wmlId="14"/>
    <p htmlId="polarion_102" wmlId="15"/>
    <p htmlId="polarion_69" wmlId="16"/>
    <p htmlId="polarion_71" wmlId="17"/>
    <p htmlId="polarion_119" wmlId="18"/>
    <p htmlId="polarion_75" wmlId="19"/>
    <h htmlId="polarion_wiki macro name=module-workitem;params=id=ML-151047" wmlId="20"/>
    <p htmlId="polarion_16" wmlId="21"/>
    <p htmlId="polarion_21" wmlId="22"/>
    <p htmlId="polarion_22" wmlId="23"/>
    <p htmlId="polarion_29" wmlId="24"/>
    <table htmlId="polarion_wiki macro name=table;params=width=100%|uid=30" wmlId="25"/>
    <p htmlId="polarion_41" wmlId="26"/>
    <h htmlId="polarion_wiki macro name=module-workitem;params=id=ML-151048" wmlId="27"/>
    <p htmlId="polarion_76" wmlId="28"/>
    <h htmlId="polarion_wiki macro name=module-workitem;params=id=ML-151049" wmlId="29"/>
    <p htmlId="polarion_1" wmlId="30"/>
    <p htmlId="polarion_46" wmlId="31"/>
    <p htmlId="polarion_17" wmlId="32"/>
    <h htmlId="polarion_wiki macro name=module-workitem;params=id=ML-151050" wmlId="33"/>
    <p htmlId="polarion_4" wmlId="34"/>
    <h htmlId="polarion_wiki macro name=module-workitem;params=id=ML-151051" wmlId="35"/>
    <p htmlId="polarion_6" wmlId="36"/>
    <h htmlId="polarion_wiki macro name=module-workitem;params=id=ML-151052" wmlId="37"/>
    <p htmlId="polarion_8" wmlId="38"/>
    <h htmlId="polarion_wiki macro name=module-workitem;params=id=ML-151053" wmlId="39"/>
    <h htmlId="polarion_wiki macro name=module-workitem;params=id=ML-151055" wmlId="40"/>
    <p htmlId="polarion_12" wmlId="41"/>
    <p htmlId="polarion_13" wmlId="42"/>
    <p htmlId="polarion_14" wmlId="43"/>
    <p htmlId="polarion_15" wmlId="44"/>
    <h htmlId="polarion_wiki macro name=module-workitem;params=id=ML-151056" wmlId="45"/>
    <p htmlId="polarion_23" wmlId="46"/>
    <p htmlId="polarion_96" wmlId="47"/>
    <h htmlId="polarion_wiki macro name=module-workitem;params=id=ML-151057" wmlId="48"/>
    <p htmlId="polarion_78" wmlId="49"/>
    <h htmlId="polarion_wiki macro name=module-workitem;params=id=ML-151058" wmlId="50"/>
    <p htmlId="polarion_39" wmlId="51"/>
    <h htmlId="polarion_wiki macro name=module-workitem;params=id=ML-151059" wmlId="52"/>
    <p htmlId="polarion_42" wmlId="53"/>
    <h htmlId="polarion_wiki macro name=module-workitem;params=id=ML-151062" wmlId="54"/>
    <p htmlId="polarion_25" wmlId="55"/>
    <h htmlId="polarion_wiki macro name=module-workitem;params=id=ML-151276" wmlId="56"/>
    <p htmlId="polarion_125" wmlId="57"/>
    <h htmlId="polarion_wiki macro name=module-workitem;params=id=ML-151275" wmlId="58"/>
    <p htmlId="polarion_11" wmlId="59"/>
    <h htmlId="polarion_wiki macro name=module-workitem;params=id=ML-151272" wmlId="60"/>
    <p htmlId="polarion_2" wmlId="61"/>
    <h htmlId="polarion_wiki macro name=module-workitem;params=id=ML-151284" wmlId="62"/>
    <p htmlId="polarion_80" wmlId="63"/>
    <h htmlId="polarion_wiki macro name=module-workitem;params=id=ML-151282" wmlId="64"/>
    <p htmlId="polarion_81" wmlId="65"/>
    <h htmlId="polarion_wiki macro name=module-workitem;params=id=ML-151283" wmlId="66"/>
    <p htmlId="polarion_82" wmlId="67"/>
    <h htmlId="polarion_wiki macro name=module-workitem;params=id=ML-151270" wmlId="68"/>
    <p htmlId="polarion_18" wmlId="69"/>
    <h htmlId="polarion_wiki macro name=module-workitem;params=id=ML-151278" wmlId="70"/>
    <p htmlId="polarion_28" wmlId="71"/>
    <h htmlId="polarion_wiki macro name=module-workitem;params=id=ML-151277" wmlId="72"/>
    <p htmlId="polarion_9" wmlId="73"/>
    <h htmlId="polarion_wiki macro name=module-workitem;params=id=ML-151271" wmlId="74"/>
    <p htmlId="polarion_10" wmlId="75"/>
    <h htmlId="polarion_wiki macro name=module-workitem;params=id=ML-151280" wmlId="76"/>
    <p htmlId="polarion_3" wmlId="77"/>
    <h htmlId="polarion_wiki macro name=module-workitem;params=id=ML-151279" wmlId="78"/>
    <p htmlId="polarion_58" wmlId="79"/>
    <p htmlId="polarion_5" wmlId="80"/>
    <h htmlId="polarion_wiki macro name=module-workitem;params=id=ML-151063" wmlId="81"/>
    <p htmlId="polarion_27" wmlId="82"/>
    <p htmlId="polarion_19" wmlId="83"/>
    <p htmlId="polarion_40" wmlId="84"/>
    <p htmlId="polarion_84" wmlId="85"/>
    <p htmlId="polarion_57" wmlId="86"/>
    <p htmlId="polarion_175" wmlId="87"/>
    <p htmlId="polarion_199" wmlId="88"/>
    <p htmlId="polarion_94" wmlId="89"/>
    <p htmlId="polarion_154" wmlId="90"/>
    <p htmlId="polarion_156" wmlId="91"/>
    <p htmlId="polarion_160" wmlId="92"/>
    <p htmlId="polarion_184" wmlId="93"/>
    <p htmlId="polarion_185" wmlId="94"/>
    <p htmlId="polarion_191" wmlId="95"/>
    <p htmlId="polarion_192" wmlId="96"/>
    <p htmlId="polarion_193" wmlId="97"/>
    <p htmlId="polarion_194" wmlId="98"/>
    <p htmlId="polarion_195" wmlId="99"/>
    <p htmlId="polarion_196" wmlId="100"/>
    <p htmlId="polarion_197" wmlId="101"/>
    <h htmlId="polarion_wiki macro name=module-workitem;params=id=ML-151064" wmlId="102"/>
    <p htmlId="polarion_30" wmlId="103"/>
    <p htmlId="polarion_70" wmlId="104"/>
    <ul htmlId="polarion_83" wmlId="105"/>
    <h htmlId="polarion_wiki macro name=module-workitem;params=id=ML-156163" wmlId="106"/>
    <p htmlId="polarion_211" wmlId="107"/>
    <h htmlId="polarion_wiki macro name=module-workitem;params=id=ML-151065" wmlId="108"/>
    <p htmlId="polarion_74" wmlId="109"/>
    <ul htmlId="polarion_144" wmlId="110"/>
    <ul htmlId="polarion_44" wmlId="111"/>
    <ul htmlId="polarion_54" wmlId="112"/>
    <ul htmlId="polarion_147" wmlId="113"/>
    <p htmlId="polarion_122" wmlId="114"/>
    <p htmlId="polarion_129" wmlId="115"/>
    <h htmlId="polarion_wiki macro name=module-workitem;params=id=ML-151066" wmlId="116"/>
    <p htmlId="polarion_53" wmlId="117"/>
    <ul htmlId="polarion_116" wmlId="118"/>
    <ul htmlId="polarion_151" wmlId="119"/>
    <ul htmlId="polarion_152" wmlId="120"/>
    <p htmlId="polarion_123" wmlId="121"/>
    <h htmlId="polarion_wiki macro name=module-workitem;params=id=ML-151274" wmlId="122"/>
    <p htmlId="polarion_134" wmlId="123"/>
    <p htmlId="polarion_77" wmlId="124"/>
    <h htmlId="polarion_wiki macro name=module-workitem;params=id=ML-151273" wmlId="125"/>
    <p htmlId="polarion_72" wmlId="126"/>
    <p htmlId="polarion_308" wmlId="127"/>
    <h htmlId="polarion_wiki macro name=module-workitem;params=id=ML-151408" wmlId="128"/>
    <p htmlId="polarion_124" wmlId="129"/>
    <p htmlId="polarion_130" wmlId="130"/>
    <h htmlId="polarion_wiki macro name=module-workitem;params=id=ML-151407" wmlId="131"/>
    <p htmlId="polarion_127" wmlId="132"/>
    <h htmlId="polarion_wiki macro name=module-workitem;params=id=ML-151369" wmlId="133"/>
    <p htmlId="polarion_97" wmlId="134"/>
    <p htmlId="polarion_92" wmlId="135"/>
    <table htmlId="polarion_wiki macro name=table;params=uid=93" wmlId="136"/>
    <p htmlId="polarion_36" wmlId="137"/>
    <p htmlId="polarion_98" wmlId="138"/>
    <p htmlId="polarion_93" wmlId="139"/>
    <table htmlId="polarion_wiki macro name=table;params=uid=180|width=100%" wmlId="140"/>
    <p htmlId="polarion_43" wmlId="141"/>
    <p htmlId="polarion_99" wmlId="142"/>
    <p htmlId="polarion_172" wmlId="143"/>
    <p htmlId="polarion_207" wmlId="144"/>
    <table htmlId="polarion_wiki macro name=table;params=bold=1|uid=211" wmlId="145"/>
    <p htmlId="polarion_215" wmlId="146"/>
    <table htmlId="polarion_wiki macro name=table;params=uid=217" wmlId="147"/>
    <h htmlId="polarion_wiki macro name=module-workitem;params=id=ML-151368" wmlId="148"/>
    <p htmlId="polarion_101" wmlId="149"/>
    <p htmlId="polarion_132" wmlId="150"/>
    <h htmlId="polarion_wiki macro name=module-workitem;params=id=ML-151420" wmlId="151"/>
    <p htmlId="polarion_139" wmlId="152"/>
    <h htmlId="polarion_wiki macro name=module-workitem;params=id=ML-151421" wmlId="153"/>
    <p htmlId="polarion_143" wmlId="154"/>
    <p htmlId="polarion_145" wmlId="155"/>
    <h htmlId="polarion_wiki macro name=module-workitem;params=id=ML-153505" wmlId="156"/>
    <p htmlId="polarion_200" wmlId="157"/>
    <h htmlId="polarion_wiki macro name=module-workitem;params=id=ML-151370" wmlId="158"/>
    <p htmlId="polarion_79" wmlId="159"/>
    <ol htmlId="polarion_126" wmlId="160"/>
    <p htmlId="polarion_128" wmlId="161"/>
    <h htmlId="polarion_wiki macro name=module-workitem;params=id=ML-151381" wmlId="162"/>
    <p htmlId="polarion_31" wmlId="163"/>
    <h htmlId="polarion_wiki macro name=module-workitem;params=id=ML-151067" wmlId="164"/>
    <p htmlId="polarion_100" wmlId="165"/>
    <h htmlId="polarion_wiki macro name=module-workitem;params=id=ML-152155" wmlId="166"/>
    <p htmlId="polarion_169" wmlId="167"/>
    <p htmlId="polarion_170" wmlId="168"/>
    <p htmlId="polarion_177" wmlId="169"/>
    <h htmlId="polarion_wiki macro name=module-workitem;params=id=ML-153879" wmlId="170"/>
    <p htmlId="polarion_225" wmlId="171"/>
    <p htmlId="polarion_61" wmlId="172"/>
    <p htmlId="polarion_305" wmlId="173"/>
    <h htmlId="polarion_wiki macro name=module-workitem;params=id=ML-152298" wmlId="174"/>
    <p htmlId="polarion_60" wmlId="175"/>
    <p htmlId="polarion_107" wmlId="176"/>
    <p htmlId="polarion_112" wmlId="177"/>
    <p htmlId="polarion_113" wmlId="178"/>
    <p htmlId="polarion_114" wmlId="179"/>
    <p htmlId="polarion_115" wmlId="180"/>
    <h htmlId="polarion_wiki macro name=module-workitem;params=id=ML-152360" wmlId="181"/>
    <p htmlId="polarion_162" wmlId="182"/>
    <p htmlId="polarion_166" wmlId="183"/>
    <h htmlId="polarion_wiki macro name=module-workitem;params=id=ML-153979" wmlId="184"/>
    <p htmlId="polarion_87" wmlId="185"/>
    <h htmlId="polarion_wiki macro name=module-workitem;params=id=ML-151068" wmlId="186"/>
    <p htmlId="polarion_37" wmlId="187"/>
    <h htmlId="polarion_wiki macro name=module-workitem;params=id=ML-151432" wmlId="188"/>
    <h htmlId="polarion_wiki macro name=module-workitem;params=id=ML-151430" wmlId="189"/>
    <h htmlId="polarion_wiki macro name=module-workitem;params=id=ML-151435" wmlId="190"/>
    <table htmlId="polarion_wiki macro name=table;params=header=no|uid=2" wmlId="191"/>
    <p htmlId="polarion_148" wmlId="192"/>
    <h htmlId="polarion_wiki macro name=module-workitem;params=id=ML-151433" wmlId="193"/>
    <p htmlId="polarion_163" wmlId="194"/>
    <h htmlId="polarion_wiki macro name=module-workitem;params=id=ML-153945" wmlId="195"/>
    <h htmlId="polarion_wiki macro name=module-workitem;params=id=ML-156230" wmlId="196"/>
    <p htmlId="polarion_56" wmlId="197"/>
    <p htmlId="polarion_190" wmlId="198"/>
    <h htmlId="polarion_wiki macro name=module-workitem;params=id=ML-151427" wmlId="199"/>
    <p htmlId="polarion_306" wmlId="200"/>
    <p htmlId="polarion_307" wmlId="201"/>
    <h htmlId="polarion_wiki macro name=module-workitem;params=id=ML-151462" wmlId="202"/>
    <p htmlId="polarion_208" wmlId="203"/>
    <p htmlId="polarion_161" wmlId="204"/>
    <h htmlId="polarion_wiki macro name=module-workitem;params=id=ML-153891" wmlId="205"/>
    <p htmlId="polarion_85" wmlId="206"/>
    <h htmlId="polarion_wiki macro name=module-workitem;params=id=ML-151463" wmlId="207"/>
    <h htmlId="polarion_wiki macro name=module-workitem;params=id=ML-151465" wmlId="208"/>
    <h htmlId="polarion_wiki macro name=module-workitem;params=id=ML-155758" wmlId="209"/>
    <p htmlId="polarion_109" wmlId="210"/>
    <p htmlId="polarion_138" wmlId="211"/>
    <p htmlId="polarion_142" wmlId="212"/>
    <h htmlId="polarion_wiki macro name=module-workitem;params=id=ML-155757" wmlId="213"/>
    <p htmlId="polarion_106" wmlId="214"/>
    <p htmlId="polarion_117" wmlId="215"/>
    <p htmlId="polarion_198" wmlId="216"/>
    <p htmlId="polarion_182" wmlId="217"/>
    <p htmlId="polarion_167" wmlId="218"/>
    <p htmlId="polarion_201" wmlId="219"/>
    <p htmlId="polarion_168" wmlId="220"/>
    <p htmlId="polarion_173" wmlId="221"/>
    <p htmlId="polarion_174" wmlId="222"/>
    <p htmlId="polarion_176" wmlId="223"/>
    <p htmlId="polarion_179" wmlId="224"/>
    <p htmlId="polarion_159" wmlId="225"/>
    <p htmlId="polarion_180" wmlId="226"/>
    <p htmlId="polarion_186" wmlId="227"/>
    <p htmlId="polarion_187" wmlId="228"/>
    <p htmlId="polarion_189" wmlId="229"/>
    <p htmlId="polarion_202" wmlId="230"/>
    <p htmlId="polarion_205" wmlId="231"/>
    <p htmlId="polarion_206" wmlId="232"/>
    <p htmlId="polarion_209" wmlId="233"/>
    <p htmlId="polarion_108" wmlId="234"/>
    <p htmlId="polarion_153" wmlId="235"/>
    <h htmlId="polarion_wiki macro name=module-workitem;params=id=ML-151464" wmlId="236"/>
    <p htmlId="polarion_314" wmlId="237"/>
    <p htmlId="polarion_246" wmlId="238"/>
    <h htmlId="polarion_wiki macro name=module-workitem;params=id=ML-152302" wmlId="239"/>
    <h htmlId="polarion_wiki macro name=module-workitem;params=id=ML-155805" wmlId="240"/>
    <p htmlId="polarion_133" wmlId="241"/>
    <h htmlId="polarion_wiki macro name=module-workitem;params=id=ML-151426" wmlId="242"/>
    <p htmlId="polarion_228" wmlId="243"/>
    <p htmlId="polarion_150" wmlId="244"/>
    <p htmlId="polarion_204" wmlId="245"/>
    <p htmlId="polarion_236" wmlId="246"/>
    <p htmlId="polarion_146" wmlId="247"/>
    <p htmlId="polarion_165" wmlId="248"/>
    <h htmlId="polarion_wiki macro name=module-workitem;params=id=ML-151428" wmlId="249"/>
    <p htmlId="polarion_188" wmlId="250"/>
    <p htmlId="polarion_136" wmlId="251"/>
    <p htmlId="polarion_203" wmlId="252"/>
    <p htmlId="polarion_149" wmlId="253"/>
    <p htmlId="polarion_141" wmlId="254"/>
    <h htmlId="polarion_wiki macro name=module-workitem;params=id=ML-151071" wmlId="255"/>
    <p htmlId="polarion_164" wmlId="256"/>
    <h htmlId="polarion_wiki macro name=module-workitem;params=id=ML-153046" wmlId="257"/>
    <p htmlId="polarion_95" wmlId="258"/>
    <h htmlId="polarion_wiki macro name=module-workitem;params=id=ML-153045" wmlId="259"/>
    <p htmlId="polarion_135" wmlId="260"/>
    <h htmlId="polarion_wiki macro name=module-workitem;params=id=ML-153047" wmlId="261"/>
    <p htmlId="polarion_90" wmlId="262"/>
    <p htmlId="polarion_45" wmlId="263"/>
    <h htmlId="polarion_wiki macro name=module-workitem;params=id=ML-156232" wmlId="264"/>
    <p htmlId="polarion_219" wmlId="265"/>
    <table htmlId="polarion_wiki macro name=table;params=width=100%|uid=221" wmlId="266"/>
    <p htmlId="polarion_222" wmlId="267"/>
    <p htmlId="polarion_55" wmlId="268"/>
    <table htmlId="polarion_wiki macro name=table;params=width=100%|uid=224" wmlId="269"/>
    <p htmlId="polarion_226" wmlId="270"/>
    <p htmlId="polarion_73" wmlId="271"/>
    <h htmlId="polarion_wiki macro name=module-workitem;params=id=ML-151072" wmlId="272"/>
    <p htmlId="polarion_120" wmlId="273"/>
    <p htmlId="polarion_183" wmlId="274"/>
    <h htmlId="polarion_wiki macro name=module-workitem;params=id=ML-156152" wmlId="275"/>
    <p htmlId="polarion_224" wmlId="276"/>
    <p htmlId="polarion_229" wmlId="277"/>
    <p htmlId="polarion_237" wmlId="278"/>
    <h htmlId="polarion_wiki macro name=module-workitem;params=id=ML-156133" wmlId="279"/>
    <p htmlId="polarion_91" wmlId="280"/>
    <p htmlId="polarion_231" wmlId="281"/>
    <h htmlId="polarion_wiki macro name=module-workitem;params=id=ML-156155" wmlId="282"/>
    <p htmlId="polarion_157" wmlId="283"/>
    <p htmlId="polarion_233" wmlId="284"/>
    <p htmlId="polarion_217" wmlId="285"/>
    <h htmlId="polarion_wiki macro name=module-workitem;params=id=ML-156160" wmlId="286"/>
    <p htmlId="polarion_155" wmlId="287"/>
    <p htmlId="polarion_234" wmlId="288"/>
    <h htmlId="polarion_wiki macro name=module-workitem;params=id=ML-151073" wmlId="289"/>
    <p htmlId="polarion_33" wmlId="290"/>
    <h htmlId="polarion_wiki macro name=module-workitem;params=id=ML-151074" wmlId="291"/>
    <p htmlId="polarion_86" wmlId="292"/>
    <h htmlId="polarion_wiki macro name=module-workitem;params=id=ML-151075" wmlId="293"/>
    <p htmlId="polarion_88" wmlId="294"/>
    <h htmlId="polarion_wiki macro name=module-workitem;params=id=ML-151076" wmlId="295"/>
    <p htmlId="polarion_35" wmlId="296"/>
    <h htmlId="polarion_wiki macro name=module-workitem;params=id=ML-151077" wmlId="297"/>
    <p htmlId="polarion_20" wmlId="298"/>
    <p htmlId="polarion_24" wmlId="299"/>
    <p htmlId="polarion_38" wmlId="300"/>
    <p htmlId="polarion_105" wmlId="301"/>
    <h htmlId="polarion_wiki macro name=module-workitem;params=id=ML-151078" wmlId="302"/>
    <h htmlId="polarion_wiki macro name=module-workitem;params=id=ML-151079" wmlId="303"/>
    <table htmlId="polarion_wiki macro name=table;params=width=100%|uid=42" wmlId="304"/>
    <h htmlId="polarion_wiki macro name=module-workitem;params=id=ML-154259" wmlId="305"/>
    <h htmlId="polarion_wiki macro name=module-workitem;params=id=ML-154257" wmlId="306"/>
    <h htmlId="polarion_wiki macro name=module-workitem;params=id=ML-151080" wmlId="307"/>
    <h htmlId="polarion_wiki macro name=module-workitem;params=id=ML-151081" wmlId="308"/>
    <p htmlId="polarion_103" wmlId="309"/>
    <table htmlId="polarion_wiki macro name=table;params=width=100%|uid=105" wmlId="310"/>
    <h htmlId="polarion_wiki macro name=module-workitem;params=id=ML-151082" wmlId="311"/>
    <table htmlId="polarion_wiki macro name=table;params=width=100%|uid=107" wmlId="312"/>
    <p htmlId="polarion_110" wmlId="313"/>
    <p htmlId="polarion_111" wmlId="314"/>
  </topLevelElements>
  <headingStyles>
    <style>
      <id>berschrift1</id>
      <name>heading 1</name>
    </style>
    <style>
      <id>berschrift2</id>
      <name>heading 2</name>
    </style>
    <style>
      <id>berschrift3</id>
      <name>heading 3</name>
    </style>
    <style>
      <id>berschrift4</id>
      <name>heading 4</name>
    </style>
    <style>
      <id>berschrift5</id>
      <name>heading 5</name>
    </style>
    <style>
      <id>berschrift6</id>
      <name>heading 6</name>
    </style>
    <style>
      <id>berschrift7</id>
      <name>heading 7</name>
    </style>
    <style>
      <id>berschrift8</id>
      <name>heading 8</name>
    </style>
    <style>
      <id>berschrift9</id>
      <name>heading 9</name>
    </style>
  </headingStyles>
</roundTripData>
</file>

<file path=customXml/item3.xml><?xml version="1.0" encoding="utf-8"?>
<hyperlinkData>
  <hyperlinks>
    <hyperlink class="polarion-rte-link" data-custom-label="A_25484" data-item-id="ML-152865" data-option-id="custom" data-type="crossReference" linkId="1"/>
    <hyperlink class="polarion-rte-link" data-custom-label="A_25404" data-item-id="ML-152184" data-option-id="custom" data-type="crossReference" linkId="2"/>
    <hyperlink class="polarion-rte-link" data-custom-label="A_25802" data-item-id="ML-153975" data-option-id="custom" data-type="crossReference" linkId="3" style="font-style: italic;"/>
    <hyperlink class="polarion-rte-link" data-custom-label="A_25802" data-item-id="ML-153975" data-option-id="custom" data-type="crossReference" linkId="4" style="font-style: italic;"/>
    <hyperlink class="polarion-rte-link" data-custom-label="A_25452" data-item-id="ML-152473" data-option-id="custom" data-type="crossReference" linkId="5" style="font-style: italic;"/>
  </hyperlinks>
</hyperlinkData>
</file>

<file path=customXml/itemProps1.xml><?xml version="1.0" encoding="utf-8"?>
<ds:datastoreItem xmlns:ds="http://schemas.openxmlformats.org/officeDocument/2006/customXml" ds:itemID="{040DF52C-0FA8-43AC-BAE2-46A0AB63D487}">
  <ds:schemaRefs>
    <ds:schemaRef ds:uri="http://schemas.openxmlformats.org/officeDocument/2006/bibliography"/>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72</Words>
  <Characters>454</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Dokumenttitel</vt:lpstr>
    </vt:vector>
  </TitlesOfParts>
  <Company>gematik GmbH</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Feature Zero-Trust</dc:title>
  <dc:creator>gematik GmbH</dc:creator>
  <cp:revision>17</cp:revision>
  <cp:lastPrinted>2020-01-22T11:37:00Z</cp:lastPrinted>
  <dcterms:created xsi:type="dcterms:W3CDTF">2020-01-16T10:43:00Z</dcterms:created>
  <dcterms:modified xsi:type="dcterms:W3CDTF">2022-08-26T19:06:00Z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mVorlagenName">
    <vt:lpwstr>Spezifikation_allgemein</vt:lpwstr>
  </property>
  <property fmtid="{D5CDD505-2E9C-101B-9397-08002B2CF9AE}" pid="3" name="gemVorlagenversion">
    <vt:lpwstr>1.0.0</vt:lpwstr>
  </property>
  <property fmtid="{D5CDD505-2E9C-101B-9397-08002B2CF9AE}" pid="4" name="Polarion Module URI">
    <vt:lpwstr>subterra:data-service:objects:/default/Mainline_OPB1${Module}{moduleFolder}Spezifikation#gemF_Zero-Trust%925986</vt:lpwstr>
  </property>
  <property fmtid="{D5CDD505-2E9C-101B-9397-08002B2CF9AE}" pid="5" name="Polarion Revision">
    <vt:lpwstr>925986</vt:lpwstr>
  </property>
  <property fmtid="{D5CDD505-2E9C-101B-9397-08002B2CF9AE}" pid="6" name="_NewReviewCycle">
    <vt:lpwstr/>
  </property>
</Properties>
</file>